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477FEC">
        <w:rPr>
          <w:rFonts w:cs="Arial"/>
          <w:b/>
          <w:sz w:val="28"/>
          <w:szCs w:val="28"/>
        </w:rPr>
        <w:t xml:space="preserve">Pflege in der Nephrologie </w:t>
      </w:r>
      <w:r w:rsidR="007F0FF3">
        <w:rPr>
          <w:rFonts w:cs="Arial"/>
          <w:b/>
          <w:sz w:val="28"/>
          <w:szCs w:val="28"/>
        </w:rPr>
        <w:t xml:space="preserve">vom </w:t>
      </w:r>
      <w:bookmarkStart w:id="0" w:name="_Hlk98181131"/>
      <w:r w:rsidR="00AB2D5F" w:rsidRPr="00AB2D5F">
        <w:rPr>
          <w:rFonts w:eastAsia="Cambria" w:cs="Arial"/>
          <w:b/>
          <w:szCs w:val="24"/>
        </w:rPr>
        <w:t>14.03./15.03.2022</w:t>
      </w:r>
      <w:bookmarkEnd w:id="0"/>
      <w:r w:rsidR="00AB2D5F">
        <w:rPr>
          <w:rFonts w:eastAsia="Cambria" w:cs="Arial"/>
          <w:b/>
          <w:szCs w:val="24"/>
        </w:rPr>
        <w:t xml:space="preserve"> </w:t>
      </w:r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03046">
              <w:rPr>
                <w:rFonts w:cs="Arial"/>
                <w:b/>
                <w:szCs w:val="24"/>
              </w:rPr>
              <w:t>Fachweiterbildung Pflege in der Nephrologie</w:t>
            </w:r>
            <w:bookmarkStart w:id="1" w:name="_GoBack"/>
            <w:bookmarkEnd w:id="1"/>
            <w:r w:rsidR="003428E6">
              <w:rPr>
                <w:rFonts w:cs="Arial"/>
                <w:b/>
                <w:szCs w:val="24"/>
              </w:rPr>
              <w:t xml:space="preserve"> vom </w:t>
            </w:r>
            <w:r w:rsidR="00AB2D5F" w:rsidRPr="00AB2D5F">
              <w:rPr>
                <w:rFonts w:eastAsia="Cambria" w:cs="Arial"/>
                <w:b/>
                <w:szCs w:val="24"/>
              </w:rPr>
              <w:t>14.03./15.03.2022</w:t>
            </w:r>
            <w:r w:rsidR="00AB2D5F">
              <w:rPr>
                <w:rFonts w:cs="Arial"/>
                <w:b/>
                <w:szCs w:val="24"/>
              </w:rPr>
              <w:t xml:space="preserve">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477FEC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Landesrechtliche Regelung </w:t>
            </w:r>
            <w:r w:rsidR="00477FEC">
              <w:rPr>
                <w:rFonts w:cs="Arial"/>
                <w:b/>
                <w:szCs w:val="24"/>
              </w:rPr>
              <w:t xml:space="preserve">oder vergleichbare Qualifikation </w:t>
            </w:r>
            <w:r w:rsidR="00AB2D5F">
              <w:rPr>
                <w:rFonts w:cs="Arial"/>
                <w:b/>
                <w:szCs w:val="24"/>
              </w:rPr>
              <w:t>- P</w:t>
            </w:r>
            <w:r w:rsidR="00477FEC">
              <w:rPr>
                <w:rFonts w:cs="Arial"/>
                <w:b/>
                <w:szCs w:val="24"/>
              </w:rPr>
              <w:t>flege in der Nephrologie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4F3EF1" w:rsidRDefault="004F3EF1" w:rsidP="004F3EF1">
            <w:pPr>
              <w:pStyle w:val="Listenabsatz"/>
              <w:numPr>
                <w:ilvl w:val="0"/>
                <w:numId w:val="41"/>
              </w:numPr>
            </w:pPr>
            <w:r w:rsidRPr="004F3EF1">
              <w:rPr>
                <w:rFonts w:ascii="Arial" w:hAnsi="Arial" w:cs="Arial"/>
              </w:rPr>
              <w:t>Mindestens 100 Stunden Konservative Nephrologie</w:t>
            </w:r>
            <w:r>
              <w:rPr>
                <w:rStyle w:val="Funotenzeichen"/>
              </w:rPr>
              <w:footnoteReference w:id="1"/>
            </w:r>
          </w:p>
          <w:p w:rsidR="005D6956" w:rsidRPr="00F875EA" w:rsidRDefault="005D6956" w:rsidP="004F3EF1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cs="Arial"/>
                <w:szCs w:val="24"/>
              </w:rPr>
            </w:pPr>
            <w:r w:rsidRPr="004F3EF1">
              <w:rPr>
                <w:rFonts w:ascii="Arial" w:hAnsi="Arial" w:cs="Arial"/>
              </w:rPr>
              <w:t>Mindestens 300 Stunden Hämodialyse</w:t>
            </w:r>
            <w:r w:rsidRPr="004F3EF1">
              <w:rPr>
                <w:rStyle w:val="Funotenzeichen"/>
                <w:rFonts w:ascii="Arial" w:hAnsi="Arial" w:cs="Arial"/>
              </w:rPr>
              <w:footnoteReference w:id="2"/>
            </w:r>
            <w:r w:rsidRPr="004F3EF1">
              <w:rPr>
                <w:rFonts w:ascii="Arial" w:hAnsi="Arial" w:cs="Arial"/>
              </w:rPr>
              <w:t xml:space="preserve"> </w:t>
            </w:r>
          </w:p>
          <w:p w:rsidR="004F3EF1" w:rsidRPr="00F875EA" w:rsidRDefault="004F3EF1" w:rsidP="004F3EF1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4F3EF1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F3EF1">
              <w:rPr>
                <w:rFonts w:ascii="Arial" w:hAnsi="Arial" w:cs="Arial"/>
              </w:rPr>
              <w:t>Mindestens 100 Stunden Peritonealdialyse</w:t>
            </w:r>
            <w:r w:rsidRPr="004F3EF1">
              <w:rPr>
                <w:rStyle w:val="Funotenzeichen"/>
                <w:rFonts w:ascii="Arial" w:hAnsi="Arial" w:cs="Arial"/>
              </w:rPr>
              <w:footnoteReference w:id="3"/>
            </w:r>
          </w:p>
          <w:p w:rsidR="005D6956" w:rsidRPr="00F875EA" w:rsidRDefault="005D6956" w:rsidP="004F3EF1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4F3EF1" w:rsidRPr="004F11FD" w:rsidTr="005D6956">
        <w:tc>
          <w:tcPr>
            <w:tcW w:w="7338" w:type="dxa"/>
          </w:tcPr>
          <w:p w:rsidR="004F3EF1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F3EF1">
              <w:rPr>
                <w:rFonts w:ascii="Arial" w:hAnsi="Arial" w:cs="Arial"/>
              </w:rPr>
              <w:t>Mindestens 100 Stunden Akutdialyse</w:t>
            </w:r>
            <w:r w:rsidRPr="004F3EF1">
              <w:rPr>
                <w:rStyle w:val="Funotenzeichen"/>
                <w:rFonts w:ascii="Arial" w:hAnsi="Arial" w:cs="Arial"/>
              </w:rPr>
              <w:footnoteReference w:id="4"/>
            </w:r>
          </w:p>
          <w:p w:rsidR="004F3EF1" w:rsidRPr="004F3EF1" w:rsidRDefault="004F3EF1" w:rsidP="004F3EF1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F3EF1" w:rsidRPr="004F11FD" w:rsidRDefault="004F3EF1">
            <w:pPr>
              <w:rPr>
                <w:rFonts w:cs="Arial"/>
                <w:szCs w:val="24"/>
              </w:rPr>
            </w:pPr>
          </w:p>
        </w:tc>
      </w:tr>
      <w:tr w:rsidR="004F3EF1" w:rsidRPr="004F11FD" w:rsidTr="005D6956">
        <w:tc>
          <w:tcPr>
            <w:tcW w:w="7338" w:type="dxa"/>
          </w:tcPr>
          <w:p w:rsidR="004F3EF1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F3EF1">
              <w:rPr>
                <w:rFonts w:ascii="Arial" w:hAnsi="Arial" w:cs="Arial"/>
              </w:rPr>
              <w:t>Mindestens 100 Stunden Sonderverfahren</w:t>
            </w:r>
            <w:r w:rsidRPr="004F3EF1">
              <w:rPr>
                <w:rStyle w:val="Funotenzeichen"/>
                <w:rFonts w:ascii="Arial" w:hAnsi="Arial" w:cs="Arial"/>
              </w:rPr>
              <w:footnoteReference w:id="5"/>
            </w:r>
          </w:p>
          <w:p w:rsidR="004F3EF1" w:rsidRPr="004F3EF1" w:rsidRDefault="004F3EF1" w:rsidP="00984DE0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F3EF1" w:rsidRPr="004F11FD" w:rsidRDefault="004F3EF1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984DE0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984DE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984DE0" w:rsidRPr="00984DE0" w:rsidRDefault="00984DE0" w:rsidP="00984DE0">
            <w:pPr>
              <w:jc w:val="left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984DE0">
              <w:rPr>
                <w:rFonts w:eastAsia="Times New Roman" w:cs="Times New Roman"/>
                <w:sz w:val="22"/>
                <w:szCs w:val="20"/>
                <w:lang w:eastAsia="de-DE"/>
              </w:rPr>
              <w:t xml:space="preserve">Die verbleibenden Stunden (mindestens 1100 Stunden) müssen in den zuvor genannten Pflichteinsatzbereichen erbracht werden. </w:t>
            </w:r>
          </w:p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F1" w:rsidRDefault="004F3EF1" w:rsidP="004F3EF1">
      <w:r>
        <w:separator/>
      </w:r>
    </w:p>
  </w:endnote>
  <w:endnote w:type="continuationSeparator" w:id="0">
    <w:p w:rsidR="004F3EF1" w:rsidRDefault="004F3EF1" w:rsidP="004F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F1" w:rsidRDefault="004F3EF1" w:rsidP="004F3EF1">
      <w:r>
        <w:separator/>
      </w:r>
    </w:p>
  </w:footnote>
  <w:footnote w:type="continuationSeparator" w:id="0">
    <w:p w:rsidR="004F3EF1" w:rsidRDefault="004F3EF1" w:rsidP="004F3EF1">
      <w:r>
        <w:continuationSeparator/>
      </w:r>
    </w:p>
  </w:footnote>
  <w:footnote w:id="1">
    <w:p w:rsidR="004F3EF1" w:rsidRPr="004F30BF" w:rsidRDefault="004F3EF1" w:rsidP="004F3EF1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F30BF">
        <w:rPr>
          <w:sz w:val="16"/>
          <w:szCs w:val="16"/>
        </w:rPr>
        <w:t xml:space="preserve">Konservative Nephrologie beinhaltet die Versorgung von Patienten auf nephrologischen Bettenstationen, nephrologische oder </w:t>
      </w:r>
      <w:proofErr w:type="spellStart"/>
      <w:r w:rsidRPr="004F30BF">
        <w:rPr>
          <w:sz w:val="16"/>
          <w:szCs w:val="16"/>
        </w:rPr>
        <w:t>diabetologischen</w:t>
      </w:r>
      <w:proofErr w:type="spellEnd"/>
      <w:r w:rsidRPr="004F30BF">
        <w:rPr>
          <w:sz w:val="16"/>
          <w:szCs w:val="16"/>
        </w:rPr>
        <w:t xml:space="preserve"> Ambulanzen oder Transplantationsabteilungen –</w:t>
      </w:r>
      <w:proofErr w:type="spellStart"/>
      <w:r w:rsidRPr="004F30BF">
        <w:rPr>
          <w:sz w:val="16"/>
          <w:szCs w:val="16"/>
        </w:rPr>
        <w:t>ambulanzen</w:t>
      </w:r>
      <w:proofErr w:type="spellEnd"/>
      <w:r w:rsidRPr="004F30BF">
        <w:rPr>
          <w:sz w:val="16"/>
          <w:szCs w:val="16"/>
        </w:rPr>
        <w:t>.</w:t>
      </w:r>
    </w:p>
  </w:footnote>
  <w:footnote w:id="2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Hämodialyse sind alle chronischen extrakorporalen Dialyseverfahren zu verstehen. </w:t>
      </w:r>
    </w:p>
  </w:footnote>
  <w:footnote w:id="3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Peritonealdialyse sind alle chronischen </w:t>
      </w:r>
      <w:proofErr w:type="spellStart"/>
      <w:r w:rsidRPr="004F30BF">
        <w:rPr>
          <w:sz w:val="16"/>
          <w:szCs w:val="16"/>
        </w:rPr>
        <w:t>peritonealnen</w:t>
      </w:r>
      <w:proofErr w:type="spellEnd"/>
      <w:r w:rsidRPr="004F30BF">
        <w:rPr>
          <w:sz w:val="16"/>
          <w:szCs w:val="16"/>
        </w:rPr>
        <w:t xml:space="preserve"> Dialyseverfahren zu verstehen. </w:t>
      </w:r>
    </w:p>
  </w:footnote>
  <w:footnote w:id="4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Akutdialyse sind alle Verfahren, die bei der Behandlung akuter nephrologischer Notfälle eingesetzt werden, zu verstehen. </w:t>
      </w:r>
    </w:p>
  </w:footnote>
  <w:footnote w:id="5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Sonderverfahren sind, im Kontext der Nephrologie, alle extrakorporalen Behandlungen, die kein Dialyseverfahren darstellen, zu verstehen.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094A"/>
    <w:multiLevelType w:val="hybridMultilevel"/>
    <w:tmpl w:val="0B30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9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3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32"/>
  </w:num>
  <w:num w:numId="5">
    <w:abstractNumId w:val="22"/>
  </w:num>
  <w:num w:numId="6">
    <w:abstractNumId w:val="37"/>
  </w:num>
  <w:num w:numId="7">
    <w:abstractNumId w:val="14"/>
  </w:num>
  <w:num w:numId="8">
    <w:abstractNumId w:val="36"/>
  </w:num>
  <w:num w:numId="9">
    <w:abstractNumId w:val="4"/>
  </w:num>
  <w:num w:numId="10">
    <w:abstractNumId w:val="38"/>
  </w:num>
  <w:num w:numId="11">
    <w:abstractNumId w:val="19"/>
  </w:num>
  <w:num w:numId="12">
    <w:abstractNumId w:val="39"/>
  </w:num>
  <w:num w:numId="13">
    <w:abstractNumId w:val="18"/>
  </w:num>
  <w:num w:numId="14">
    <w:abstractNumId w:val="11"/>
  </w:num>
  <w:num w:numId="15">
    <w:abstractNumId w:val="23"/>
  </w:num>
  <w:num w:numId="16">
    <w:abstractNumId w:val="44"/>
  </w:num>
  <w:num w:numId="17">
    <w:abstractNumId w:val="31"/>
  </w:num>
  <w:num w:numId="18">
    <w:abstractNumId w:val="8"/>
  </w:num>
  <w:num w:numId="19">
    <w:abstractNumId w:val="16"/>
  </w:num>
  <w:num w:numId="20">
    <w:abstractNumId w:val="15"/>
  </w:num>
  <w:num w:numId="21">
    <w:abstractNumId w:val="46"/>
  </w:num>
  <w:num w:numId="22">
    <w:abstractNumId w:val="43"/>
  </w:num>
  <w:num w:numId="23">
    <w:abstractNumId w:val="28"/>
  </w:num>
  <w:num w:numId="24">
    <w:abstractNumId w:val="9"/>
  </w:num>
  <w:num w:numId="25">
    <w:abstractNumId w:val="30"/>
  </w:num>
  <w:num w:numId="26">
    <w:abstractNumId w:val="27"/>
  </w:num>
  <w:num w:numId="27">
    <w:abstractNumId w:val="35"/>
  </w:num>
  <w:num w:numId="28">
    <w:abstractNumId w:val="29"/>
  </w:num>
  <w:num w:numId="29">
    <w:abstractNumId w:val="42"/>
  </w:num>
  <w:num w:numId="30">
    <w:abstractNumId w:val="21"/>
  </w:num>
  <w:num w:numId="31">
    <w:abstractNumId w:val="6"/>
  </w:num>
  <w:num w:numId="32">
    <w:abstractNumId w:val="26"/>
  </w:num>
  <w:num w:numId="33">
    <w:abstractNumId w:val="13"/>
  </w:num>
  <w:num w:numId="34">
    <w:abstractNumId w:val="45"/>
  </w:num>
  <w:num w:numId="35">
    <w:abstractNumId w:val="3"/>
  </w:num>
  <w:num w:numId="36">
    <w:abstractNumId w:val="10"/>
  </w:num>
  <w:num w:numId="37">
    <w:abstractNumId w:val="2"/>
  </w:num>
  <w:num w:numId="38">
    <w:abstractNumId w:val="40"/>
  </w:num>
  <w:num w:numId="39">
    <w:abstractNumId w:val="24"/>
  </w:num>
  <w:num w:numId="40">
    <w:abstractNumId w:val="33"/>
  </w:num>
  <w:num w:numId="41">
    <w:abstractNumId w:val="41"/>
  </w:num>
  <w:num w:numId="42">
    <w:abstractNumId w:val="7"/>
  </w:num>
  <w:num w:numId="43">
    <w:abstractNumId w:val="34"/>
  </w:num>
  <w:num w:numId="44">
    <w:abstractNumId w:val="1"/>
  </w:num>
  <w:num w:numId="45">
    <w:abstractNumId w:val="17"/>
  </w:num>
  <w:num w:numId="46">
    <w:abstractNumId w:val="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D0B74"/>
    <w:rsid w:val="003D3E71"/>
    <w:rsid w:val="003D51F9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77FEC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4F3EF1"/>
    <w:rsid w:val="0051617D"/>
    <w:rsid w:val="00527FEB"/>
    <w:rsid w:val="00544321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03046"/>
    <w:rsid w:val="00916BB4"/>
    <w:rsid w:val="00960887"/>
    <w:rsid w:val="009834E8"/>
    <w:rsid w:val="00984DE0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B2D5F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2785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8812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4F3EF1"/>
    <w:pPr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4F3EF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4F3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6C50-28B4-472A-AC6E-F7FF728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7</cp:revision>
  <cp:lastPrinted>2016-10-21T08:11:00Z</cp:lastPrinted>
  <dcterms:created xsi:type="dcterms:W3CDTF">2021-12-09T12:48:00Z</dcterms:created>
  <dcterms:modified xsi:type="dcterms:W3CDTF">2022-03-15T08:57:00Z</dcterms:modified>
</cp:coreProperties>
</file>