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D8B9"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282C0EF2" w14:textId="77777777" w:rsidR="00031885" w:rsidRDefault="00031885">
      <w:pPr>
        <w:rPr>
          <w:rFonts w:ascii="Arial" w:hAnsi="Arial" w:cs="Arial"/>
          <w:sz w:val="22"/>
          <w:szCs w:val="22"/>
        </w:rPr>
      </w:pPr>
    </w:p>
    <w:p w14:paraId="3D461662" w14:textId="7777777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574FAD">
        <w:rPr>
          <w:rFonts w:ascii="Arial" w:eastAsia="Times New Roman" w:hAnsi="Arial" w:cs="Times New Roman"/>
          <w:b/>
          <w:szCs w:val="20"/>
          <w:u w:val="single"/>
          <w:lang w:eastAsia="de-DE"/>
        </w:rPr>
        <w:t xml:space="preserve">zur </w:t>
      </w:r>
      <w:r w:rsidR="00495B97">
        <w:rPr>
          <w:rFonts w:ascii="Arial" w:eastAsia="Times New Roman" w:hAnsi="Arial" w:cs="Times New Roman"/>
          <w:b/>
          <w:szCs w:val="20"/>
          <w:u w:val="single"/>
          <w:lang w:eastAsia="de-DE"/>
        </w:rPr>
        <w:t>Veröffentlichung des AOP</w:t>
      </w:r>
      <w:r w:rsidR="003E44ED">
        <w:rPr>
          <w:rFonts w:ascii="Arial" w:eastAsia="Times New Roman" w:hAnsi="Arial" w:cs="Times New Roman"/>
          <w:b/>
          <w:szCs w:val="20"/>
          <w:u w:val="single"/>
          <w:lang w:eastAsia="de-DE"/>
        </w:rPr>
        <w:t>-</w:t>
      </w:r>
      <w:r w:rsidR="00495B97">
        <w:rPr>
          <w:rFonts w:ascii="Arial" w:eastAsia="Times New Roman" w:hAnsi="Arial" w:cs="Times New Roman"/>
          <w:b/>
          <w:szCs w:val="20"/>
          <w:u w:val="single"/>
          <w:lang w:eastAsia="de-DE"/>
        </w:rPr>
        <w:t>Katalogs</w:t>
      </w:r>
    </w:p>
    <w:p w14:paraId="44D5777B"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4C558745" w14:textId="77777777" w:rsidR="001962FD" w:rsidRPr="00462B9F" w:rsidRDefault="00D96863" w:rsidP="001962FD">
      <w:pPr>
        <w:spacing w:after="0" w:line="340" w:lineRule="atLeast"/>
        <w:ind w:right="2268"/>
        <w:jc w:val="both"/>
        <w:rPr>
          <w:rFonts w:ascii="Arial" w:hAnsi="Arial" w:cs="Arial"/>
          <w:b/>
          <w:sz w:val="32"/>
          <w:szCs w:val="32"/>
        </w:rPr>
      </w:pPr>
      <w:r>
        <w:rPr>
          <w:rFonts w:ascii="Arial" w:hAnsi="Arial" w:cs="Arial"/>
          <w:b/>
          <w:sz w:val="32"/>
          <w:szCs w:val="32"/>
        </w:rPr>
        <w:t>AOP</w:t>
      </w:r>
      <w:r w:rsidR="003E44ED">
        <w:rPr>
          <w:rFonts w:ascii="Arial" w:hAnsi="Arial" w:cs="Arial"/>
          <w:b/>
          <w:sz w:val="32"/>
          <w:szCs w:val="32"/>
        </w:rPr>
        <w:t>-</w:t>
      </w:r>
      <w:r>
        <w:rPr>
          <w:rFonts w:ascii="Arial" w:hAnsi="Arial" w:cs="Arial"/>
          <w:b/>
          <w:sz w:val="32"/>
          <w:szCs w:val="32"/>
        </w:rPr>
        <w:t xml:space="preserve">Katalog nur erster Schritt zur Ambulantisierung </w:t>
      </w:r>
    </w:p>
    <w:p w14:paraId="083336E4"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FCD6D9F" w14:textId="20D8978A" w:rsidR="00FA74F6" w:rsidRDefault="00D30167" w:rsidP="00583AEF">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71767">
        <w:rPr>
          <w:rFonts w:ascii="Arial" w:eastAsia="Times New Roman" w:hAnsi="Arial" w:cs="Arial"/>
          <w:noProof/>
          <w:lang w:eastAsia="de-DE"/>
        </w:rPr>
        <w:t>1. April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277C56">
        <w:rPr>
          <w:rFonts w:ascii="Arial" w:eastAsia="Times New Roman" w:hAnsi="Arial" w:cs="Arial"/>
          <w:lang w:eastAsia="de-DE"/>
        </w:rPr>
        <w:t xml:space="preserve"> </w:t>
      </w:r>
      <w:r w:rsidR="00927CA1" w:rsidRPr="00495B97">
        <w:rPr>
          <w:rFonts w:ascii="Arial" w:eastAsia="Times New Roman" w:hAnsi="Arial" w:cs="Arial"/>
          <w:bCs/>
          <w:lang w:eastAsia="de-DE"/>
        </w:rPr>
        <w:t>Die Nutzung ambulante</w:t>
      </w:r>
      <w:r w:rsidR="003E44ED">
        <w:rPr>
          <w:rFonts w:ascii="Arial" w:eastAsia="Times New Roman" w:hAnsi="Arial" w:cs="Arial"/>
          <w:bCs/>
          <w:lang w:eastAsia="de-DE"/>
        </w:rPr>
        <w:t>r</w:t>
      </w:r>
      <w:r w:rsidR="00927CA1" w:rsidRPr="00495B97">
        <w:rPr>
          <w:rFonts w:ascii="Arial" w:eastAsia="Times New Roman" w:hAnsi="Arial" w:cs="Arial"/>
          <w:bCs/>
          <w:lang w:eastAsia="de-DE"/>
        </w:rPr>
        <w:t xml:space="preserve"> </w:t>
      </w:r>
      <w:r w:rsidR="00FA74F6" w:rsidRPr="00495B97">
        <w:rPr>
          <w:rFonts w:ascii="Arial" w:eastAsia="Times New Roman" w:hAnsi="Arial" w:cs="Arial"/>
          <w:bCs/>
          <w:lang w:eastAsia="de-DE"/>
        </w:rPr>
        <w:t>P</w:t>
      </w:r>
      <w:r w:rsidR="00927CA1" w:rsidRPr="00495B97">
        <w:rPr>
          <w:rFonts w:ascii="Arial" w:eastAsia="Times New Roman" w:hAnsi="Arial" w:cs="Arial"/>
          <w:bCs/>
          <w:lang w:eastAsia="de-DE"/>
        </w:rPr>
        <w:t xml:space="preserve">otenziale </w:t>
      </w:r>
      <w:r w:rsidR="00FA74F6" w:rsidRPr="00495B97">
        <w:rPr>
          <w:rFonts w:ascii="Arial" w:eastAsia="Times New Roman" w:hAnsi="Arial" w:cs="Arial"/>
          <w:bCs/>
          <w:lang w:eastAsia="de-DE"/>
        </w:rPr>
        <w:t xml:space="preserve">wird </w:t>
      </w:r>
      <w:r w:rsidR="00495B97" w:rsidRPr="00495B97">
        <w:rPr>
          <w:rFonts w:ascii="Arial" w:eastAsia="Times New Roman" w:hAnsi="Arial" w:cs="Arial"/>
          <w:bCs/>
          <w:lang w:eastAsia="de-DE"/>
        </w:rPr>
        <w:t>wesentliche</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Voraussetzung</w:t>
      </w:r>
      <w:r w:rsidR="00FA74F6" w:rsidRPr="00495B97">
        <w:rPr>
          <w:rFonts w:ascii="Arial" w:eastAsia="Times New Roman" w:hAnsi="Arial" w:cs="Arial"/>
          <w:bCs/>
          <w:lang w:eastAsia="de-DE"/>
        </w:rPr>
        <w:t xml:space="preserve"> sein</w:t>
      </w:r>
      <w:r w:rsidR="00927CA1" w:rsidRPr="00495B97">
        <w:rPr>
          <w:rFonts w:ascii="Arial" w:eastAsia="Times New Roman" w:hAnsi="Arial" w:cs="Arial"/>
          <w:bCs/>
          <w:lang w:eastAsia="de-DE"/>
        </w:rPr>
        <w:t xml:space="preserve">, </w:t>
      </w:r>
      <w:r w:rsidR="00347757">
        <w:rPr>
          <w:rFonts w:ascii="Arial" w:eastAsia="Times New Roman" w:hAnsi="Arial" w:cs="Arial"/>
          <w:bCs/>
          <w:lang w:eastAsia="de-DE"/>
        </w:rPr>
        <w:t>um</w:t>
      </w:r>
      <w:r w:rsidR="00347757" w:rsidRPr="00495B97">
        <w:rPr>
          <w:rFonts w:ascii="Arial" w:eastAsia="Times New Roman" w:hAnsi="Arial" w:cs="Arial"/>
          <w:bCs/>
          <w:lang w:eastAsia="de-DE"/>
        </w:rPr>
        <w:t xml:space="preserve"> </w:t>
      </w:r>
      <w:r w:rsidR="00927CA1" w:rsidRPr="00495B97">
        <w:rPr>
          <w:rFonts w:ascii="Arial" w:eastAsia="Times New Roman" w:hAnsi="Arial" w:cs="Arial"/>
          <w:bCs/>
          <w:lang w:eastAsia="de-DE"/>
        </w:rPr>
        <w:t xml:space="preserve">dauerhaft eine </w:t>
      </w:r>
      <w:r w:rsidR="003E5D46">
        <w:rPr>
          <w:rFonts w:ascii="Arial" w:eastAsia="Times New Roman" w:hAnsi="Arial" w:cs="Arial"/>
          <w:bCs/>
          <w:lang w:eastAsia="de-DE"/>
        </w:rPr>
        <w:t xml:space="preserve">wirtschaftliche und qualitativ hochwertige </w:t>
      </w:r>
      <w:r w:rsidR="00927CA1" w:rsidRPr="00495B97">
        <w:rPr>
          <w:rFonts w:ascii="Arial" w:eastAsia="Times New Roman" w:hAnsi="Arial" w:cs="Arial"/>
          <w:bCs/>
          <w:lang w:eastAsia="de-DE"/>
        </w:rPr>
        <w:t xml:space="preserve">Versorgung in Deutschland gewährleisten zu können. </w:t>
      </w:r>
      <w:r w:rsidR="00FA74F6" w:rsidRPr="00495B97">
        <w:rPr>
          <w:rFonts w:ascii="Arial" w:eastAsia="Times New Roman" w:hAnsi="Arial" w:cs="Arial"/>
          <w:bCs/>
          <w:lang w:eastAsia="de-DE"/>
        </w:rPr>
        <w:t xml:space="preserve">Auch im </w:t>
      </w:r>
      <w:r w:rsidR="00495B97" w:rsidRPr="00495B97">
        <w:rPr>
          <w:rFonts w:ascii="Arial" w:eastAsia="Times New Roman" w:hAnsi="Arial" w:cs="Arial"/>
          <w:bCs/>
          <w:lang w:eastAsia="de-DE"/>
        </w:rPr>
        <w:t>Koal</w:t>
      </w:r>
      <w:r w:rsidR="00347757">
        <w:rPr>
          <w:rFonts w:ascii="Arial" w:eastAsia="Times New Roman" w:hAnsi="Arial" w:cs="Arial"/>
          <w:bCs/>
          <w:lang w:eastAsia="de-DE"/>
        </w:rPr>
        <w:t>i</w:t>
      </w:r>
      <w:r w:rsidR="00495B97" w:rsidRPr="00495B97">
        <w:rPr>
          <w:rFonts w:ascii="Arial" w:eastAsia="Times New Roman" w:hAnsi="Arial" w:cs="Arial"/>
          <w:bCs/>
          <w:lang w:eastAsia="de-DE"/>
        </w:rPr>
        <w:t>tionsvertrag</w:t>
      </w:r>
      <w:r w:rsidR="00FA74F6" w:rsidRPr="00495B97">
        <w:rPr>
          <w:rFonts w:ascii="Arial" w:eastAsia="Times New Roman" w:hAnsi="Arial" w:cs="Arial"/>
          <w:bCs/>
          <w:lang w:eastAsia="de-DE"/>
        </w:rPr>
        <w:t xml:space="preserve"> wird </w:t>
      </w:r>
      <w:r w:rsidR="003E5D46">
        <w:rPr>
          <w:rFonts w:ascii="Arial" w:eastAsia="Times New Roman" w:hAnsi="Arial" w:cs="Arial"/>
          <w:bCs/>
          <w:lang w:eastAsia="de-DE"/>
        </w:rPr>
        <w:t>die</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Ambulantisierung</w:t>
      </w:r>
      <w:r w:rsidR="00FA74F6" w:rsidRPr="00495B97">
        <w:rPr>
          <w:rFonts w:ascii="Arial" w:eastAsia="Times New Roman" w:hAnsi="Arial" w:cs="Arial"/>
          <w:bCs/>
          <w:lang w:eastAsia="de-DE"/>
        </w:rPr>
        <w:t xml:space="preserve"> als </w:t>
      </w:r>
      <w:r w:rsidR="00495B97" w:rsidRPr="00495B97">
        <w:rPr>
          <w:rFonts w:ascii="Arial" w:eastAsia="Times New Roman" w:hAnsi="Arial" w:cs="Arial"/>
          <w:bCs/>
          <w:lang w:eastAsia="de-DE"/>
        </w:rPr>
        <w:t>ein</w:t>
      </w:r>
      <w:r w:rsidR="003E5D46">
        <w:rPr>
          <w:rFonts w:ascii="Arial" w:eastAsia="Times New Roman" w:hAnsi="Arial" w:cs="Arial"/>
          <w:bCs/>
          <w:lang w:eastAsia="de-DE"/>
        </w:rPr>
        <w:t xml:space="preserve"> wichtiger Teil</w:t>
      </w:r>
      <w:r w:rsidR="00FA74F6" w:rsidRPr="00495B97">
        <w:rPr>
          <w:rFonts w:ascii="Arial" w:eastAsia="Times New Roman" w:hAnsi="Arial" w:cs="Arial"/>
          <w:bCs/>
          <w:lang w:eastAsia="de-DE"/>
        </w:rPr>
        <w:t xml:space="preserve"> de</w:t>
      </w:r>
      <w:r w:rsidR="00495B97" w:rsidRPr="00495B97">
        <w:rPr>
          <w:rFonts w:ascii="Arial" w:eastAsia="Times New Roman" w:hAnsi="Arial" w:cs="Arial"/>
          <w:bCs/>
          <w:lang w:eastAsia="de-DE"/>
        </w:rPr>
        <w:t>r</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beabsichtig</w:t>
      </w:r>
      <w:r w:rsidR="008A1F48">
        <w:rPr>
          <w:rFonts w:ascii="Arial" w:eastAsia="Times New Roman" w:hAnsi="Arial" w:cs="Arial"/>
          <w:bCs/>
          <w:lang w:eastAsia="de-DE"/>
        </w:rPr>
        <w:t>t</w:t>
      </w:r>
      <w:r w:rsidR="00495B97" w:rsidRPr="00495B97">
        <w:rPr>
          <w:rFonts w:ascii="Arial" w:eastAsia="Times New Roman" w:hAnsi="Arial" w:cs="Arial"/>
          <w:bCs/>
          <w:lang w:eastAsia="de-DE"/>
        </w:rPr>
        <w:t>en</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Strukturreform</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adressiert</w:t>
      </w:r>
      <w:r w:rsidR="00FA74F6" w:rsidRPr="00495B97">
        <w:rPr>
          <w:rFonts w:ascii="Arial" w:eastAsia="Times New Roman" w:hAnsi="Arial" w:cs="Arial"/>
          <w:bCs/>
          <w:lang w:eastAsia="de-DE"/>
        </w:rPr>
        <w:t xml:space="preserve">. </w:t>
      </w:r>
      <w:r w:rsidR="00927CA1" w:rsidRPr="00495B97">
        <w:rPr>
          <w:rFonts w:ascii="Arial" w:eastAsia="Times New Roman" w:hAnsi="Arial" w:cs="Arial"/>
          <w:bCs/>
          <w:lang w:eastAsia="de-DE"/>
        </w:rPr>
        <w:t xml:space="preserve">Mit der Veröffentlichung </w:t>
      </w:r>
      <w:r w:rsidR="003E5D46">
        <w:rPr>
          <w:rFonts w:ascii="Arial" w:eastAsia="Times New Roman" w:hAnsi="Arial" w:cs="Arial"/>
          <w:bCs/>
          <w:lang w:eastAsia="de-DE"/>
        </w:rPr>
        <w:t xml:space="preserve">des Gutachtens </w:t>
      </w:r>
      <w:r w:rsidR="00E362A4">
        <w:rPr>
          <w:rFonts w:ascii="Arial" w:eastAsia="Times New Roman" w:hAnsi="Arial" w:cs="Arial"/>
          <w:bCs/>
          <w:lang w:eastAsia="de-DE"/>
        </w:rPr>
        <w:t>zur Erweiterung</w:t>
      </w:r>
      <w:r w:rsidR="00927CA1" w:rsidRPr="00495B97">
        <w:rPr>
          <w:rFonts w:ascii="Arial" w:eastAsia="Times New Roman" w:hAnsi="Arial" w:cs="Arial"/>
          <w:bCs/>
          <w:lang w:eastAsia="de-DE"/>
        </w:rPr>
        <w:t xml:space="preserve"> des bisherigen </w:t>
      </w:r>
      <w:r w:rsidR="00FA74F6" w:rsidRPr="00495B97">
        <w:rPr>
          <w:rFonts w:ascii="Arial" w:eastAsia="Times New Roman" w:hAnsi="Arial" w:cs="Arial"/>
          <w:bCs/>
          <w:lang w:eastAsia="de-DE"/>
        </w:rPr>
        <w:t>AOP</w:t>
      </w:r>
      <w:r w:rsidR="003E44ED">
        <w:rPr>
          <w:rFonts w:ascii="Arial" w:eastAsia="Times New Roman" w:hAnsi="Arial" w:cs="Arial"/>
          <w:bCs/>
          <w:lang w:eastAsia="de-DE"/>
        </w:rPr>
        <w:t>-</w:t>
      </w:r>
      <w:r w:rsidR="00927CA1" w:rsidRPr="00495B97">
        <w:rPr>
          <w:rFonts w:ascii="Arial" w:eastAsia="Times New Roman" w:hAnsi="Arial" w:cs="Arial"/>
          <w:bCs/>
          <w:lang w:eastAsia="de-DE"/>
        </w:rPr>
        <w:t xml:space="preserve">Katalogs wird hier ein wichtiger Schritt unternommen. </w:t>
      </w:r>
      <w:r w:rsidR="00FA74F6" w:rsidRPr="00495B97">
        <w:rPr>
          <w:rFonts w:ascii="Arial" w:eastAsia="Times New Roman" w:hAnsi="Arial" w:cs="Arial"/>
          <w:bCs/>
          <w:lang w:eastAsia="de-DE"/>
        </w:rPr>
        <w:t xml:space="preserve">„Wir </w:t>
      </w:r>
      <w:r w:rsidR="00495B97" w:rsidRPr="00495B97">
        <w:rPr>
          <w:rFonts w:ascii="Arial" w:eastAsia="Times New Roman" w:hAnsi="Arial" w:cs="Arial"/>
          <w:bCs/>
          <w:lang w:eastAsia="de-DE"/>
        </w:rPr>
        <w:t>begrüßen das</w:t>
      </w:r>
      <w:r w:rsidR="00FA74F6" w:rsidRPr="00495B97">
        <w:rPr>
          <w:rFonts w:ascii="Arial" w:eastAsia="Times New Roman" w:hAnsi="Arial" w:cs="Arial"/>
          <w:bCs/>
          <w:lang w:eastAsia="de-DE"/>
        </w:rPr>
        <w:t xml:space="preserve"> </w:t>
      </w:r>
      <w:r w:rsidR="00495B97" w:rsidRPr="00495B97">
        <w:rPr>
          <w:rFonts w:ascii="Arial" w:eastAsia="Times New Roman" w:hAnsi="Arial" w:cs="Arial"/>
          <w:bCs/>
          <w:lang w:eastAsia="de-DE"/>
        </w:rPr>
        <w:t>Ergebnis</w:t>
      </w:r>
      <w:r w:rsidR="00FA74F6" w:rsidRPr="00495B97">
        <w:rPr>
          <w:rFonts w:ascii="Arial" w:eastAsia="Times New Roman" w:hAnsi="Arial" w:cs="Arial"/>
          <w:bCs/>
          <w:lang w:eastAsia="de-DE"/>
        </w:rPr>
        <w:t xml:space="preserve"> des </w:t>
      </w:r>
      <w:r w:rsidR="00927CA1" w:rsidRPr="00495B97">
        <w:rPr>
          <w:rFonts w:ascii="Arial" w:eastAsia="Times New Roman" w:hAnsi="Arial" w:cs="Arial"/>
          <w:bCs/>
          <w:lang w:eastAsia="de-DE"/>
        </w:rPr>
        <w:t xml:space="preserve">Gutachtens zur Anpassung und Erweiterung des </w:t>
      </w:r>
      <w:r w:rsidR="00FA74F6" w:rsidRPr="00495B97">
        <w:rPr>
          <w:rFonts w:ascii="Arial" w:eastAsia="Times New Roman" w:hAnsi="Arial" w:cs="Arial"/>
          <w:bCs/>
          <w:lang w:eastAsia="de-DE"/>
        </w:rPr>
        <w:t>AOP</w:t>
      </w:r>
      <w:r w:rsidR="003E44ED">
        <w:rPr>
          <w:rFonts w:ascii="Arial" w:eastAsia="Times New Roman" w:hAnsi="Arial" w:cs="Arial"/>
          <w:bCs/>
          <w:lang w:eastAsia="de-DE"/>
        </w:rPr>
        <w:t>-</w:t>
      </w:r>
      <w:r w:rsidR="00927CA1" w:rsidRPr="00495B97">
        <w:rPr>
          <w:rFonts w:ascii="Arial" w:eastAsia="Times New Roman" w:hAnsi="Arial" w:cs="Arial"/>
          <w:bCs/>
          <w:lang w:eastAsia="de-DE"/>
        </w:rPr>
        <w:t>Katalog</w:t>
      </w:r>
      <w:r w:rsidR="003E44ED">
        <w:rPr>
          <w:rFonts w:ascii="Arial" w:eastAsia="Times New Roman" w:hAnsi="Arial" w:cs="Arial"/>
          <w:bCs/>
          <w:lang w:eastAsia="de-DE"/>
        </w:rPr>
        <w:t>s</w:t>
      </w:r>
      <w:r w:rsidR="00347757">
        <w:rPr>
          <w:rFonts w:ascii="Arial" w:eastAsia="Times New Roman" w:hAnsi="Arial" w:cs="Arial"/>
          <w:bCs/>
          <w:lang w:eastAsia="de-DE"/>
        </w:rPr>
        <w:t xml:space="preserve"> und</w:t>
      </w:r>
      <w:r w:rsidR="00927CA1" w:rsidRPr="00495B97">
        <w:rPr>
          <w:rFonts w:ascii="Arial" w:eastAsia="Times New Roman" w:hAnsi="Arial" w:cs="Arial"/>
          <w:bCs/>
          <w:lang w:eastAsia="de-DE"/>
        </w:rPr>
        <w:t xml:space="preserve"> </w:t>
      </w:r>
      <w:r w:rsidR="003E5D46">
        <w:rPr>
          <w:rFonts w:ascii="Arial" w:eastAsia="Times New Roman" w:hAnsi="Arial" w:cs="Arial"/>
          <w:bCs/>
          <w:lang w:eastAsia="de-DE"/>
        </w:rPr>
        <w:t>unterstützen den Ansatz</w:t>
      </w:r>
      <w:r w:rsidR="00495B97" w:rsidRPr="00495B97">
        <w:rPr>
          <w:rFonts w:ascii="Arial" w:eastAsia="Times New Roman" w:hAnsi="Arial" w:cs="Arial"/>
          <w:bCs/>
          <w:lang w:eastAsia="de-DE"/>
        </w:rPr>
        <w:t xml:space="preserve">, </w:t>
      </w:r>
      <w:r w:rsidR="00347757">
        <w:rPr>
          <w:rFonts w:ascii="Arial" w:eastAsia="Times New Roman" w:hAnsi="Arial" w:cs="Arial"/>
          <w:bCs/>
          <w:lang w:eastAsia="de-DE"/>
        </w:rPr>
        <w:t xml:space="preserve">dass </w:t>
      </w:r>
      <w:r w:rsidR="00495B97" w:rsidRPr="00495B97">
        <w:rPr>
          <w:rFonts w:ascii="Arial" w:eastAsia="Times New Roman" w:hAnsi="Arial" w:cs="Arial"/>
          <w:bCs/>
          <w:lang w:eastAsia="de-DE"/>
        </w:rPr>
        <w:t>deutlich</w:t>
      </w:r>
      <w:r w:rsidR="00927CA1" w:rsidRPr="00495B97">
        <w:rPr>
          <w:rFonts w:ascii="Arial" w:eastAsia="Times New Roman" w:hAnsi="Arial" w:cs="Arial"/>
          <w:bCs/>
          <w:lang w:eastAsia="de-DE"/>
        </w:rPr>
        <w:t xml:space="preserve"> über eine reine Anpassung des Katalogs hinaus</w:t>
      </w:r>
      <w:r w:rsidR="00FA74F6" w:rsidRPr="00495B97">
        <w:rPr>
          <w:rFonts w:ascii="Arial" w:eastAsia="Times New Roman" w:hAnsi="Arial" w:cs="Arial"/>
          <w:bCs/>
          <w:lang w:eastAsia="de-DE"/>
        </w:rPr>
        <w:t>gegangen wurde</w:t>
      </w:r>
      <w:r w:rsidR="00927CA1" w:rsidRPr="00495B97">
        <w:rPr>
          <w:rFonts w:ascii="Arial" w:eastAsia="Times New Roman" w:hAnsi="Arial" w:cs="Arial"/>
          <w:bCs/>
          <w:lang w:eastAsia="de-DE"/>
        </w:rPr>
        <w:t xml:space="preserve">. Wir </w:t>
      </w:r>
      <w:r w:rsidR="003E5D46">
        <w:rPr>
          <w:rFonts w:ascii="Arial" w:eastAsia="Times New Roman" w:hAnsi="Arial" w:cs="Arial"/>
          <w:bCs/>
          <w:lang w:eastAsia="de-DE"/>
        </w:rPr>
        <w:t>sind überzeugt</w:t>
      </w:r>
      <w:r w:rsidR="00495B97" w:rsidRPr="00495B97">
        <w:rPr>
          <w:rFonts w:ascii="Arial" w:eastAsia="Times New Roman" w:hAnsi="Arial" w:cs="Arial"/>
          <w:bCs/>
          <w:lang w:eastAsia="de-DE"/>
        </w:rPr>
        <w:t>,</w:t>
      </w:r>
      <w:r w:rsidR="00927CA1" w:rsidRPr="00495B97">
        <w:rPr>
          <w:rFonts w:ascii="Arial" w:eastAsia="Times New Roman" w:hAnsi="Arial" w:cs="Arial"/>
          <w:bCs/>
          <w:lang w:eastAsia="de-DE"/>
        </w:rPr>
        <w:t xml:space="preserve"> dass die Nutzung der ambulanten Potenziale der Krankenhäuser </w:t>
      </w:r>
      <w:r w:rsidR="003E5D46">
        <w:rPr>
          <w:rFonts w:ascii="Arial" w:eastAsia="Times New Roman" w:hAnsi="Arial" w:cs="Arial"/>
          <w:bCs/>
          <w:lang w:eastAsia="de-DE"/>
        </w:rPr>
        <w:t>in</w:t>
      </w:r>
      <w:r w:rsidR="00927CA1" w:rsidRPr="00495B97">
        <w:rPr>
          <w:rFonts w:ascii="Arial" w:eastAsia="Times New Roman" w:hAnsi="Arial" w:cs="Arial"/>
          <w:bCs/>
          <w:lang w:eastAsia="de-DE"/>
        </w:rPr>
        <w:t xml:space="preserve"> Zukunft </w:t>
      </w:r>
      <w:r w:rsidR="003E5D46">
        <w:rPr>
          <w:rFonts w:ascii="Arial" w:eastAsia="Times New Roman" w:hAnsi="Arial" w:cs="Arial"/>
          <w:bCs/>
          <w:lang w:eastAsia="de-DE"/>
        </w:rPr>
        <w:t xml:space="preserve">ein echter Mehrwert für die </w:t>
      </w:r>
      <w:r w:rsidR="00E362A4">
        <w:rPr>
          <w:rFonts w:ascii="Arial" w:eastAsia="Times New Roman" w:hAnsi="Arial" w:cs="Arial"/>
          <w:bCs/>
          <w:lang w:eastAsia="de-DE"/>
        </w:rPr>
        <w:t xml:space="preserve">Patientenversorgung </w:t>
      </w:r>
      <w:r w:rsidR="00E362A4" w:rsidRPr="00495B97">
        <w:rPr>
          <w:rFonts w:ascii="Arial" w:eastAsia="Times New Roman" w:hAnsi="Arial" w:cs="Arial"/>
          <w:bCs/>
          <w:lang w:eastAsia="de-DE"/>
        </w:rPr>
        <w:t>sein</w:t>
      </w:r>
      <w:r w:rsidR="00927CA1" w:rsidRPr="00495B97">
        <w:rPr>
          <w:rFonts w:ascii="Arial" w:eastAsia="Times New Roman" w:hAnsi="Arial" w:cs="Arial"/>
          <w:bCs/>
          <w:lang w:eastAsia="de-DE"/>
        </w:rPr>
        <w:t xml:space="preserve"> wird</w:t>
      </w:r>
      <w:r w:rsidR="00FA74F6" w:rsidRPr="00495B97">
        <w:rPr>
          <w:rFonts w:ascii="Arial" w:eastAsia="Times New Roman" w:hAnsi="Arial" w:cs="Arial"/>
          <w:bCs/>
          <w:lang w:eastAsia="de-DE"/>
        </w:rPr>
        <w:t>“</w:t>
      </w:r>
      <w:r w:rsidR="008A1F48">
        <w:rPr>
          <w:rFonts w:ascii="Arial" w:eastAsia="Times New Roman" w:hAnsi="Arial" w:cs="Arial"/>
          <w:bCs/>
          <w:lang w:eastAsia="de-DE"/>
        </w:rPr>
        <w:t>,</w:t>
      </w:r>
      <w:r w:rsidR="00FA74F6" w:rsidRPr="00495B97">
        <w:rPr>
          <w:rFonts w:ascii="Arial" w:eastAsia="Times New Roman" w:hAnsi="Arial" w:cs="Arial"/>
          <w:bCs/>
          <w:lang w:eastAsia="de-DE"/>
        </w:rPr>
        <w:t xml:space="preserve"> </w:t>
      </w:r>
      <w:r w:rsidR="00FA74F6" w:rsidRPr="00495B97">
        <w:rPr>
          <w:rFonts w:ascii="Arial" w:eastAsia="Times New Roman" w:hAnsi="Arial" w:cs="Arial"/>
          <w:lang w:eastAsia="de-DE"/>
        </w:rPr>
        <w:t xml:space="preserve">erklärte Dr. Gerald Gaß, Vorstandsvorsitzender der Deutschen Krankenhausgesellschaft (DKG). </w:t>
      </w:r>
    </w:p>
    <w:p w14:paraId="76F3275A" w14:textId="303A418E" w:rsidR="00FA74F6" w:rsidRPr="00FA74F6" w:rsidRDefault="00FA74F6" w:rsidP="00FA74F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Das</w:t>
      </w:r>
      <w:r w:rsidR="003E44ED">
        <w:rPr>
          <w:rFonts w:ascii="Arial" w:eastAsia="Times New Roman" w:hAnsi="Arial" w:cs="Arial"/>
          <w:bCs/>
          <w:lang w:eastAsia="de-DE"/>
        </w:rPr>
        <w:t xml:space="preserve"> nun veröffentlichte</w:t>
      </w:r>
      <w:r>
        <w:rPr>
          <w:rFonts w:ascii="Arial" w:eastAsia="Times New Roman" w:hAnsi="Arial" w:cs="Arial"/>
          <w:bCs/>
          <w:lang w:eastAsia="de-DE"/>
        </w:rPr>
        <w:t xml:space="preserve"> </w:t>
      </w:r>
      <w:r w:rsidR="00495B97">
        <w:rPr>
          <w:rFonts w:ascii="Arial" w:eastAsia="Times New Roman" w:hAnsi="Arial" w:cs="Arial"/>
          <w:bCs/>
          <w:lang w:eastAsia="de-DE"/>
        </w:rPr>
        <w:t>Gutachten</w:t>
      </w:r>
      <w:r w:rsidR="00F71767">
        <w:rPr>
          <w:rFonts w:ascii="Arial" w:eastAsia="Times New Roman" w:hAnsi="Arial" w:cs="Arial"/>
          <w:bCs/>
          <w:lang w:eastAsia="de-DE"/>
        </w:rPr>
        <w:t xml:space="preserve"> </w:t>
      </w:r>
      <w:bookmarkStart w:id="0" w:name="_GoBack"/>
      <w:bookmarkEnd w:id="0"/>
      <w:r w:rsidR="003E5D46">
        <w:rPr>
          <w:rFonts w:ascii="Arial" w:eastAsia="Times New Roman" w:hAnsi="Arial" w:cs="Arial"/>
          <w:bCs/>
          <w:lang w:eastAsia="de-DE"/>
        </w:rPr>
        <w:t>erfüllt den Auftrag</w:t>
      </w:r>
      <w:r w:rsidR="003E44ED">
        <w:rPr>
          <w:rFonts w:ascii="Arial" w:eastAsia="Times New Roman" w:hAnsi="Arial" w:cs="Arial"/>
          <w:bCs/>
          <w:lang w:eastAsia="de-DE"/>
        </w:rPr>
        <w:t>,</w:t>
      </w:r>
      <w:r w:rsidR="003E5D46">
        <w:rPr>
          <w:rFonts w:ascii="Arial" w:eastAsia="Times New Roman" w:hAnsi="Arial" w:cs="Arial"/>
          <w:bCs/>
          <w:lang w:eastAsia="de-DE"/>
        </w:rPr>
        <w:t xml:space="preserve"> </w:t>
      </w:r>
      <w:r>
        <w:rPr>
          <w:rFonts w:ascii="Arial" w:eastAsia="Times New Roman" w:hAnsi="Arial" w:cs="Arial"/>
          <w:bCs/>
          <w:lang w:eastAsia="de-DE"/>
        </w:rPr>
        <w:t>d</w:t>
      </w:r>
      <w:r w:rsidR="00495B97">
        <w:rPr>
          <w:rFonts w:ascii="Arial" w:eastAsia="Times New Roman" w:hAnsi="Arial" w:cs="Arial"/>
          <w:bCs/>
          <w:lang w:eastAsia="de-DE"/>
        </w:rPr>
        <w:t>en</w:t>
      </w:r>
      <w:r>
        <w:rPr>
          <w:rFonts w:ascii="Arial" w:eastAsia="Times New Roman" w:hAnsi="Arial" w:cs="Arial"/>
          <w:bCs/>
          <w:lang w:eastAsia="de-DE"/>
        </w:rPr>
        <w:t xml:space="preserve"> </w:t>
      </w:r>
      <w:r w:rsidRPr="00FA74F6">
        <w:rPr>
          <w:rFonts w:ascii="Arial" w:eastAsia="Times New Roman" w:hAnsi="Arial" w:cs="Arial"/>
          <w:bCs/>
          <w:lang w:eastAsia="de-DE"/>
        </w:rPr>
        <w:t>Stand der medizinischen Erkenntnisse zu ambulant durchführbaren Operationen, stationsersetzenden Eingriffen und stationsersetzenden Behandlungen</w:t>
      </w:r>
      <w:r w:rsidR="00583243">
        <w:rPr>
          <w:rFonts w:ascii="Arial" w:eastAsia="Times New Roman" w:hAnsi="Arial" w:cs="Arial"/>
          <w:bCs/>
          <w:lang w:eastAsia="de-DE"/>
        </w:rPr>
        <w:t xml:space="preserve"> </w:t>
      </w:r>
      <w:r w:rsidR="00E362A4">
        <w:rPr>
          <w:rFonts w:ascii="Arial" w:eastAsia="Times New Roman" w:hAnsi="Arial" w:cs="Arial"/>
          <w:bCs/>
          <w:lang w:eastAsia="de-DE"/>
        </w:rPr>
        <w:t xml:space="preserve">zu </w:t>
      </w:r>
      <w:r w:rsidR="00E362A4" w:rsidRPr="00FA74F6">
        <w:rPr>
          <w:rFonts w:ascii="Arial" w:eastAsia="Times New Roman" w:hAnsi="Arial" w:cs="Arial"/>
          <w:bCs/>
          <w:lang w:eastAsia="de-DE"/>
        </w:rPr>
        <w:t>untersuchen</w:t>
      </w:r>
      <w:r w:rsidRPr="00FA74F6">
        <w:rPr>
          <w:rFonts w:ascii="Arial" w:eastAsia="Times New Roman" w:hAnsi="Arial" w:cs="Arial"/>
          <w:bCs/>
          <w:lang w:eastAsia="de-DE"/>
        </w:rPr>
        <w:t>. Darüber hinaus sollte das Gutachten ambulant durchführbare Operationen, stationsersetzende Eingriffe und stationsersetzende Behandlungen zur Erweiterung des Kataloges nach § 115b SGB V konkret benennen und in Verbindung damit verschiedene Maßnahmen zur Differenzierung der Fälle nach Schweregraden analysieren.</w:t>
      </w:r>
    </w:p>
    <w:p w14:paraId="6939A98B" w14:textId="77777777" w:rsidR="00FA74F6" w:rsidRDefault="00D96863" w:rsidP="00D96863">
      <w:pPr>
        <w:spacing w:line="340" w:lineRule="atLeast"/>
        <w:ind w:right="2268"/>
        <w:jc w:val="both"/>
        <w:rPr>
          <w:rFonts w:ascii="Arial" w:eastAsia="Times New Roman" w:hAnsi="Arial" w:cs="Arial"/>
          <w:bCs/>
          <w:lang w:eastAsia="de-DE"/>
        </w:rPr>
      </w:pPr>
      <w:r w:rsidRPr="00D96863">
        <w:rPr>
          <w:rFonts w:ascii="Arial" w:eastAsia="Times New Roman" w:hAnsi="Arial" w:cs="Arial"/>
          <w:bCs/>
          <w:lang w:eastAsia="de-DE"/>
        </w:rPr>
        <w:t xml:space="preserve">Dabei sind sowohl ambulante Operationen und </w:t>
      </w:r>
      <w:r w:rsidR="00347757">
        <w:rPr>
          <w:rFonts w:ascii="Arial" w:eastAsia="Times New Roman" w:hAnsi="Arial" w:cs="Arial"/>
          <w:bCs/>
          <w:lang w:eastAsia="de-DE"/>
        </w:rPr>
        <w:t>stationsersetzende</w:t>
      </w:r>
      <w:r w:rsidRPr="00D96863">
        <w:rPr>
          <w:rFonts w:ascii="Arial" w:eastAsia="Times New Roman" w:hAnsi="Arial" w:cs="Arial"/>
          <w:bCs/>
          <w:lang w:eastAsia="de-DE"/>
        </w:rPr>
        <w:t xml:space="preserve"> Eingriffe als auch </w:t>
      </w:r>
      <w:r w:rsidR="00495B97">
        <w:rPr>
          <w:rFonts w:ascii="Arial" w:eastAsia="Times New Roman" w:hAnsi="Arial" w:cs="Arial"/>
          <w:bCs/>
          <w:lang w:eastAsia="de-DE"/>
        </w:rPr>
        <w:t>s</w:t>
      </w:r>
      <w:r w:rsidRPr="00D96863">
        <w:rPr>
          <w:rFonts w:ascii="Arial" w:eastAsia="Times New Roman" w:hAnsi="Arial" w:cs="Arial"/>
          <w:bCs/>
          <w:lang w:eastAsia="de-DE"/>
        </w:rPr>
        <w:t>tation</w:t>
      </w:r>
      <w:r w:rsidR="008A1F48">
        <w:rPr>
          <w:rFonts w:ascii="Arial" w:eastAsia="Times New Roman" w:hAnsi="Arial" w:cs="Arial"/>
          <w:bCs/>
          <w:lang w:eastAsia="de-DE"/>
        </w:rPr>
        <w:t>s</w:t>
      </w:r>
      <w:r w:rsidRPr="00D96863">
        <w:rPr>
          <w:rFonts w:ascii="Arial" w:eastAsia="Times New Roman" w:hAnsi="Arial" w:cs="Arial"/>
          <w:bCs/>
          <w:lang w:eastAsia="de-DE"/>
        </w:rPr>
        <w:t>ersetzen</w:t>
      </w:r>
      <w:r w:rsidR="00FA74F6">
        <w:rPr>
          <w:rFonts w:ascii="Arial" w:eastAsia="Times New Roman" w:hAnsi="Arial" w:cs="Arial"/>
          <w:bCs/>
          <w:lang w:eastAsia="de-DE"/>
        </w:rPr>
        <w:t xml:space="preserve">de </w:t>
      </w:r>
      <w:r w:rsidRPr="00D96863">
        <w:rPr>
          <w:rFonts w:ascii="Arial" w:eastAsia="Times New Roman" w:hAnsi="Arial" w:cs="Arial"/>
          <w:bCs/>
          <w:lang w:eastAsia="de-DE"/>
        </w:rPr>
        <w:t>Behandlung</w:t>
      </w:r>
      <w:r w:rsidR="00347757">
        <w:rPr>
          <w:rFonts w:ascii="Arial" w:eastAsia="Times New Roman" w:hAnsi="Arial" w:cs="Arial"/>
          <w:bCs/>
          <w:lang w:eastAsia="de-DE"/>
        </w:rPr>
        <w:t>en</w:t>
      </w:r>
      <w:r w:rsidRPr="00D96863">
        <w:rPr>
          <w:rFonts w:ascii="Arial" w:eastAsia="Times New Roman" w:hAnsi="Arial" w:cs="Arial"/>
          <w:bCs/>
          <w:lang w:eastAsia="de-DE"/>
        </w:rPr>
        <w:t xml:space="preserve"> beinhaltet. Wichtig in </w:t>
      </w:r>
      <w:r w:rsidR="00347757">
        <w:rPr>
          <w:rFonts w:ascii="Arial" w:eastAsia="Times New Roman" w:hAnsi="Arial" w:cs="Arial"/>
          <w:bCs/>
          <w:lang w:eastAsia="de-DE"/>
        </w:rPr>
        <w:t xml:space="preserve">dem </w:t>
      </w:r>
      <w:r w:rsidRPr="00D96863">
        <w:rPr>
          <w:rFonts w:ascii="Arial" w:eastAsia="Times New Roman" w:hAnsi="Arial" w:cs="Arial"/>
          <w:bCs/>
          <w:lang w:eastAsia="de-DE"/>
        </w:rPr>
        <w:t>Gutachten ist die Einführungen so genannte</w:t>
      </w:r>
      <w:r w:rsidR="00347757">
        <w:rPr>
          <w:rFonts w:ascii="Arial" w:eastAsia="Times New Roman" w:hAnsi="Arial" w:cs="Arial"/>
          <w:bCs/>
          <w:lang w:eastAsia="de-DE"/>
        </w:rPr>
        <w:t>r</w:t>
      </w:r>
      <w:r w:rsidRPr="00D96863">
        <w:rPr>
          <w:rFonts w:ascii="Arial" w:eastAsia="Times New Roman" w:hAnsi="Arial" w:cs="Arial"/>
          <w:bCs/>
          <w:lang w:eastAsia="de-DE"/>
        </w:rPr>
        <w:t xml:space="preserve"> Kontext</w:t>
      </w:r>
      <w:r w:rsidR="00FA74F6">
        <w:rPr>
          <w:rFonts w:ascii="Arial" w:eastAsia="Times New Roman" w:hAnsi="Arial" w:cs="Arial"/>
          <w:bCs/>
          <w:lang w:eastAsia="de-DE"/>
        </w:rPr>
        <w:t>f</w:t>
      </w:r>
      <w:r w:rsidRPr="00D96863">
        <w:rPr>
          <w:rFonts w:ascii="Arial" w:eastAsia="Times New Roman" w:hAnsi="Arial" w:cs="Arial"/>
          <w:bCs/>
          <w:lang w:eastAsia="de-DE"/>
        </w:rPr>
        <w:t>aktoren. Dieses Kontext</w:t>
      </w:r>
      <w:r w:rsidR="00FA74F6">
        <w:rPr>
          <w:rFonts w:ascii="Arial" w:eastAsia="Times New Roman" w:hAnsi="Arial" w:cs="Arial"/>
          <w:bCs/>
          <w:lang w:eastAsia="de-DE"/>
        </w:rPr>
        <w:t>f</w:t>
      </w:r>
      <w:r w:rsidRPr="00D96863">
        <w:rPr>
          <w:rFonts w:ascii="Arial" w:eastAsia="Times New Roman" w:hAnsi="Arial" w:cs="Arial"/>
          <w:bCs/>
          <w:lang w:eastAsia="de-DE"/>
        </w:rPr>
        <w:t>aktoren</w:t>
      </w:r>
      <w:r w:rsidR="00FA74F6">
        <w:rPr>
          <w:rFonts w:ascii="Arial" w:eastAsia="Times New Roman" w:hAnsi="Arial" w:cs="Arial"/>
          <w:bCs/>
          <w:lang w:eastAsia="de-DE"/>
        </w:rPr>
        <w:t>m</w:t>
      </w:r>
      <w:r w:rsidRPr="00D96863">
        <w:rPr>
          <w:rFonts w:ascii="Arial" w:eastAsia="Times New Roman" w:hAnsi="Arial" w:cs="Arial"/>
          <w:bCs/>
          <w:lang w:eastAsia="de-DE"/>
        </w:rPr>
        <w:t xml:space="preserve">odell ist die Grundlage für eine </w:t>
      </w:r>
      <w:r w:rsidR="00347757">
        <w:rPr>
          <w:rFonts w:ascii="Arial" w:eastAsia="Times New Roman" w:hAnsi="Arial" w:cs="Arial"/>
          <w:bCs/>
          <w:lang w:eastAsia="de-DE"/>
        </w:rPr>
        <w:t>patientenindividuelle</w:t>
      </w:r>
      <w:r w:rsidRPr="00D96863">
        <w:rPr>
          <w:rFonts w:ascii="Arial" w:eastAsia="Times New Roman" w:hAnsi="Arial" w:cs="Arial"/>
          <w:bCs/>
          <w:lang w:eastAsia="de-DE"/>
        </w:rPr>
        <w:t xml:space="preserve"> Begründung einer stationären Leistungserbringung</w:t>
      </w:r>
      <w:r w:rsidR="003E44ED">
        <w:rPr>
          <w:rFonts w:ascii="Arial" w:eastAsia="Times New Roman" w:hAnsi="Arial" w:cs="Arial"/>
          <w:bCs/>
          <w:lang w:eastAsia="de-DE"/>
        </w:rPr>
        <w:t>,</w:t>
      </w:r>
      <w:r w:rsidRPr="00D96863">
        <w:rPr>
          <w:rFonts w:ascii="Arial" w:eastAsia="Times New Roman" w:hAnsi="Arial" w:cs="Arial"/>
          <w:bCs/>
          <w:lang w:eastAsia="de-DE"/>
        </w:rPr>
        <w:t xml:space="preserve"> auch wenn die Leistung poten</w:t>
      </w:r>
      <w:r w:rsidR="00FA74F6">
        <w:rPr>
          <w:rFonts w:ascii="Arial" w:eastAsia="Times New Roman" w:hAnsi="Arial" w:cs="Arial"/>
          <w:bCs/>
          <w:lang w:eastAsia="de-DE"/>
        </w:rPr>
        <w:t>z</w:t>
      </w:r>
      <w:r w:rsidRPr="00D96863">
        <w:rPr>
          <w:rFonts w:ascii="Arial" w:eastAsia="Times New Roman" w:hAnsi="Arial" w:cs="Arial"/>
          <w:bCs/>
          <w:lang w:eastAsia="de-DE"/>
        </w:rPr>
        <w:t xml:space="preserve">iell ambulant </w:t>
      </w:r>
      <w:r w:rsidR="00FA74F6">
        <w:rPr>
          <w:rFonts w:ascii="Arial" w:eastAsia="Times New Roman" w:hAnsi="Arial" w:cs="Arial"/>
          <w:bCs/>
          <w:lang w:eastAsia="de-DE"/>
        </w:rPr>
        <w:t xml:space="preserve">erbringbar </w:t>
      </w:r>
      <w:r w:rsidR="00495B97">
        <w:rPr>
          <w:rFonts w:ascii="Arial" w:eastAsia="Times New Roman" w:hAnsi="Arial" w:cs="Arial"/>
          <w:bCs/>
          <w:lang w:eastAsia="de-DE"/>
        </w:rPr>
        <w:t>wäre.</w:t>
      </w:r>
      <w:r w:rsidRPr="00D96863">
        <w:rPr>
          <w:rFonts w:ascii="Arial" w:eastAsia="Times New Roman" w:hAnsi="Arial" w:cs="Arial"/>
          <w:bCs/>
          <w:lang w:eastAsia="de-DE"/>
        </w:rPr>
        <w:t xml:space="preserve"> Es </w:t>
      </w:r>
      <w:r w:rsidR="00347757">
        <w:rPr>
          <w:rFonts w:ascii="Arial" w:eastAsia="Times New Roman" w:hAnsi="Arial" w:cs="Arial"/>
          <w:bCs/>
          <w:lang w:eastAsia="de-DE"/>
        </w:rPr>
        <w:t>soll</w:t>
      </w:r>
      <w:r w:rsidRPr="00D96863">
        <w:rPr>
          <w:rFonts w:ascii="Arial" w:eastAsia="Times New Roman" w:hAnsi="Arial" w:cs="Arial"/>
          <w:bCs/>
          <w:lang w:eastAsia="de-DE"/>
        </w:rPr>
        <w:t xml:space="preserve"> zudem Grundlage der gesetzlich geforderten Schweregrad</w:t>
      </w:r>
      <w:r w:rsidR="00347757">
        <w:rPr>
          <w:rFonts w:ascii="Arial" w:eastAsia="Times New Roman" w:hAnsi="Arial" w:cs="Arial"/>
          <w:bCs/>
          <w:lang w:eastAsia="de-DE"/>
        </w:rPr>
        <w:t>d</w:t>
      </w:r>
      <w:r w:rsidRPr="00D96863">
        <w:rPr>
          <w:rFonts w:ascii="Arial" w:eastAsia="Times New Roman" w:hAnsi="Arial" w:cs="Arial"/>
          <w:bCs/>
          <w:lang w:eastAsia="de-DE"/>
        </w:rPr>
        <w:t xml:space="preserve">ifferenzierung </w:t>
      </w:r>
      <w:r w:rsidR="00347757">
        <w:rPr>
          <w:rFonts w:ascii="Arial" w:eastAsia="Times New Roman" w:hAnsi="Arial" w:cs="Arial"/>
          <w:bCs/>
          <w:lang w:eastAsia="de-DE"/>
        </w:rPr>
        <w:t xml:space="preserve">für ein </w:t>
      </w:r>
      <w:r w:rsidRPr="00D96863">
        <w:rPr>
          <w:rFonts w:ascii="Arial" w:eastAsia="Times New Roman" w:hAnsi="Arial" w:cs="Arial"/>
          <w:bCs/>
          <w:lang w:eastAsia="de-DE"/>
        </w:rPr>
        <w:t>noch zu entwicke</w:t>
      </w:r>
      <w:r w:rsidR="00E362A4">
        <w:rPr>
          <w:rFonts w:ascii="Arial" w:eastAsia="Times New Roman" w:hAnsi="Arial" w:cs="Arial"/>
          <w:bCs/>
          <w:lang w:eastAsia="de-DE"/>
        </w:rPr>
        <w:t>l</w:t>
      </w:r>
      <w:r w:rsidR="00347757">
        <w:rPr>
          <w:rFonts w:ascii="Arial" w:eastAsia="Times New Roman" w:hAnsi="Arial" w:cs="Arial"/>
          <w:bCs/>
          <w:lang w:eastAsia="de-DE"/>
        </w:rPr>
        <w:t>ndes</w:t>
      </w:r>
      <w:r w:rsidR="00583243">
        <w:rPr>
          <w:rFonts w:ascii="Arial" w:eastAsia="Times New Roman" w:hAnsi="Arial" w:cs="Arial"/>
          <w:bCs/>
          <w:lang w:eastAsia="de-DE"/>
        </w:rPr>
        <w:t xml:space="preserve"> </w:t>
      </w:r>
      <w:r w:rsidRPr="00D96863">
        <w:rPr>
          <w:rFonts w:ascii="Arial" w:eastAsia="Times New Roman" w:hAnsi="Arial" w:cs="Arial"/>
          <w:bCs/>
          <w:lang w:eastAsia="de-DE"/>
        </w:rPr>
        <w:t>Vergütungsmodell</w:t>
      </w:r>
      <w:r w:rsidR="00347757">
        <w:rPr>
          <w:rFonts w:ascii="Arial" w:eastAsia="Times New Roman" w:hAnsi="Arial" w:cs="Arial"/>
          <w:bCs/>
          <w:lang w:eastAsia="de-DE"/>
        </w:rPr>
        <w:t xml:space="preserve"> sein</w:t>
      </w:r>
      <w:r w:rsidRPr="00D96863">
        <w:rPr>
          <w:rFonts w:ascii="Arial" w:eastAsia="Times New Roman" w:hAnsi="Arial" w:cs="Arial"/>
          <w:bCs/>
          <w:lang w:eastAsia="de-DE"/>
        </w:rPr>
        <w:t xml:space="preserve">. </w:t>
      </w:r>
    </w:p>
    <w:p w14:paraId="642A3174" w14:textId="77777777" w:rsidR="00583243" w:rsidRDefault="00583243" w:rsidP="00D96863">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 xml:space="preserve">Dieser Bereich des Gutachtens </w:t>
      </w:r>
      <w:r w:rsidR="008A6278">
        <w:rPr>
          <w:rFonts w:ascii="Arial" w:eastAsia="Times New Roman" w:hAnsi="Arial" w:cs="Arial"/>
          <w:bCs/>
          <w:lang w:eastAsia="de-DE"/>
        </w:rPr>
        <w:t>orientiert sich an internationalen Erfahrungen, die zeigen, dass komplexe ambulante Versorgung am Krankenhaus möglich ist, wenn die Rahmenbedingungen richtig gesetzt werden. Es zeigt aber auch, dass die Krankenhäuser der richtige Ort für diese Behandlungen sind, weil nur dort die notwendigen Strukturvoraussetzungen existieren.</w:t>
      </w:r>
    </w:p>
    <w:p w14:paraId="41B827ED" w14:textId="77777777" w:rsidR="00FA74F6" w:rsidRPr="00FA74F6" w:rsidRDefault="00FA74F6" w:rsidP="00FA74F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FA74F6">
        <w:rPr>
          <w:rFonts w:ascii="Arial" w:eastAsia="Times New Roman" w:hAnsi="Arial" w:cs="Arial"/>
          <w:bCs/>
          <w:lang w:eastAsia="de-DE"/>
        </w:rPr>
        <w:t>Durch den gewählten potenzialorientierten Ansatz bietet das Gutachten über die Empfehlungen zur Erweiterung des</w:t>
      </w:r>
      <w:r w:rsidR="00583243">
        <w:rPr>
          <w:rFonts w:ascii="Arial" w:eastAsia="Times New Roman" w:hAnsi="Arial" w:cs="Arial"/>
          <w:bCs/>
          <w:lang w:eastAsia="de-DE"/>
        </w:rPr>
        <w:t xml:space="preserve"> bisherigen</w:t>
      </w:r>
      <w:r w:rsidRPr="00FA74F6">
        <w:rPr>
          <w:rFonts w:ascii="Arial" w:eastAsia="Times New Roman" w:hAnsi="Arial" w:cs="Arial"/>
          <w:bCs/>
          <w:lang w:eastAsia="de-DE"/>
        </w:rPr>
        <w:t xml:space="preserve"> AOP-Kataloges hinaus gute </w:t>
      </w:r>
      <w:r w:rsidR="00495B97">
        <w:rPr>
          <w:rFonts w:ascii="Arial" w:eastAsia="Times New Roman" w:hAnsi="Arial" w:cs="Arial"/>
          <w:bCs/>
          <w:lang w:eastAsia="de-DE"/>
        </w:rPr>
        <w:t>Ansätze</w:t>
      </w:r>
      <w:r w:rsidRPr="00FA74F6">
        <w:rPr>
          <w:rFonts w:ascii="Arial" w:eastAsia="Times New Roman" w:hAnsi="Arial" w:cs="Arial"/>
          <w:bCs/>
          <w:lang w:eastAsia="de-DE"/>
        </w:rPr>
        <w:t>, auf deren Basis ein Katalog stationsersetzender Leistungen für eine</w:t>
      </w:r>
      <w:r w:rsidR="003E44ED">
        <w:rPr>
          <w:rFonts w:ascii="Arial" w:eastAsia="Times New Roman" w:hAnsi="Arial" w:cs="Arial"/>
          <w:bCs/>
          <w:lang w:eastAsia="de-DE"/>
        </w:rPr>
        <w:t>n</w:t>
      </w:r>
      <w:r w:rsidRPr="00FA74F6">
        <w:rPr>
          <w:rFonts w:ascii="Arial" w:eastAsia="Times New Roman" w:hAnsi="Arial" w:cs="Arial"/>
          <w:bCs/>
          <w:lang w:eastAsia="de-DE"/>
        </w:rPr>
        <w:t xml:space="preserve"> eigenen neuen klinisch-ambulanten Bereich definiert werden </w:t>
      </w:r>
      <w:r w:rsidR="00347757">
        <w:rPr>
          <w:rFonts w:ascii="Arial" w:eastAsia="Times New Roman" w:hAnsi="Arial" w:cs="Arial"/>
          <w:bCs/>
          <w:lang w:eastAsia="de-DE"/>
        </w:rPr>
        <w:t>kann</w:t>
      </w:r>
      <w:r w:rsidR="00347757" w:rsidRPr="00FA74F6">
        <w:rPr>
          <w:rFonts w:ascii="Arial" w:eastAsia="Times New Roman" w:hAnsi="Arial" w:cs="Arial"/>
          <w:bCs/>
          <w:lang w:eastAsia="de-DE"/>
        </w:rPr>
        <w:t xml:space="preserve"> </w:t>
      </w:r>
      <w:r w:rsidRPr="00FA74F6">
        <w:rPr>
          <w:rFonts w:ascii="Arial" w:eastAsia="Times New Roman" w:hAnsi="Arial" w:cs="Arial"/>
          <w:bCs/>
          <w:lang w:eastAsia="de-DE"/>
        </w:rPr>
        <w:t>und bei dem die Krankenhäuser zukünftig nach medizinischen Aspekten selbst entscheiden, ob sie diese Leistung klinisch-ambulant oder stationär erbringen</w:t>
      </w:r>
      <w:r>
        <w:rPr>
          <w:rFonts w:ascii="Arial" w:eastAsia="Times New Roman" w:hAnsi="Arial" w:cs="Arial"/>
          <w:bCs/>
          <w:lang w:eastAsia="de-DE"/>
        </w:rPr>
        <w:t xml:space="preserve">. </w:t>
      </w:r>
      <w:r w:rsidR="00583243">
        <w:rPr>
          <w:rFonts w:ascii="Arial" w:eastAsia="Times New Roman" w:hAnsi="Arial" w:cs="Arial"/>
          <w:bCs/>
          <w:lang w:eastAsia="de-DE"/>
        </w:rPr>
        <w:t>Ein solcher klinisch-ambulanter Leistungsbereich an den Krankenhäusern</w:t>
      </w:r>
      <w:r w:rsidR="00E362A4">
        <w:rPr>
          <w:rFonts w:ascii="Arial" w:eastAsia="Times New Roman" w:hAnsi="Arial" w:cs="Arial"/>
          <w:bCs/>
          <w:lang w:eastAsia="de-DE"/>
        </w:rPr>
        <w:t xml:space="preserve"> </w:t>
      </w:r>
      <w:r w:rsidR="00583243">
        <w:rPr>
          <w:rFonts w:ascii="Arial" w:eastAsia="Times New Roman" w:hAnsi="Arial" w:cs="Arial"/>
          <w:bCs/>
          <w:lang w:eastAsia="de-DE"/>
        </w:rPr>
        <w:t xml:space="preserve">kann ideal mit den im Koalitionsvertrag </w:t>
      </w:r>
      <w:r w:rsidR="00E362A4">
        <w:rPr>
          <w:rFonts w:ascii="Arial" w:eastAsia="Times New Roman" w:hAnsi="Arial" w:cs="Arial"/>
          <w:bCs/>
          <w:lang w:eastAsia="de-DE"/>
        </w:rPr>
        <w:t xml:space="preserve">angesprochenen </w:t>
      </w:r>
      <w:r w:rsidR="00E362A4" w:rsidRPr="00FA74F6">
        <w:rPr>
          <w:rFonts w:ascii="Arial" w:eastAsia="Times New Roman" w:hAnsi="Arial" w:cs="Arial"/>
          <w:bCs/>
          <w:lang w:eastAsia="de-DE"/>
        </w:rPr>
        <w:t>Hybrid</w:t>
      </w:r>
      <w:r w:rsidRPr="00FA74F6">
        <w:rPr>
          <w:rFonts w:ascii="Arial" w:eastAsia="Times New Roman" w:hAnsi="Arial" w:cs="Arial"/>
          <w:bCs/>
          <w:lang w:eastAsia="de-DE"/>
        </w:rPr>
        <w:t>-DRG</w:t>
      </w:r>
      <w:r w:rsidR="00583243">
        <w:rPr>
          <w:rFonts w:ascii="Arial" w:eastAsia="Times New Roman" w:hAnsi="Arial" w:cs="Arial"/>
          <w:bCs/>
          <w:lang w:eastAsia="de-DE"/>
        </w:rPr>
        <w:t xml:space="preserve"> vergütet werden. Damit werden starke Anreize für eine Ambulantisierung bisher vollstationärer Leistungen gesetzt und allein medizinische </w:t>
      </w:r>
      <w:r w:rsidR="00E362A4">
        <w:rPr>
          <w:rFonts w:ascii="Arial" w:eastAsia="Times New Roman" w:hAnsi="Arial" w:cs="Arial"/>
          <w:bCs/>
          <w:lang w:eastAsia="de-DE"/>
        </w:rPr>
        <w:t>Aspekte bei</w:t>
      </w:r>
      <w:r w:rsidR="00583243">
        <w:rPr>
          <w:rFonts w:ascii="Arial" w:eastAsia="Times New Roman" w:hAnsi="Arial" w:cs="Arial"/>
          <w:bCs/>
          <w:lang w:eastAsia="de-DE"/>
        </w:rPr>
        <w:t xml:space="preserve"> der patientenindividuellen Wahl des Behandlungsortes in den Mittelpunkt gestellt</w:t>
      </w:r>
      <w:r>
        <w:rPr>
          <w:rFonts w:ascii="Arial" w:eastAsia="Times New Roman" w:hAnsi="Arial" w:cs="Arial"/>
          <w:bCs/>
          <w:lang w:eastAsia="de-DE"/>
        </w:rPr>
        <w:t>“</w:t>
      </w:r>
      <w:r w:rsidR="008A1F48">
        <w:rPr>
          <w:rFonts w:ascii="Arial" w:eastAsia="Times New Roman" w:hAnsi="Arial" w:cs="Arial"/>
          <w:bCs/>
          <w:lang w:eastAsia="de-DE"/>
        </w:rPr>
        <w:t>,</w:t>
      </w:r>
      <w:r>
        <w:rPr>
          <w:rFonts w:ascii="Arial" w:eastAsia="Times New Roman" w:hAnsi="Arial" w:cs="Arial"/>
          <w:bCs/>
          <w:lang w:eastAsia="de-DE"/>
        </w:rPr>
        <w:t xml:space="preserve"> so Gaß</w:t>
      </w:r>
      <w:r w:rsidRPr="00FA74F6">
        <w:rPr>
          <w:rFonts w:ascii="Arial" w:eastAsia="Times New Roman" w:hAnsi="Arial" w:cs="Arial"/>
          <w:bCs/>
          <w:lang w:eastAsia="de-DE"/>
        </w:rPr>
        <w:t>.</w:t>
      </w:r>
    </w:p>
    <w:p w14:paraId="50E08171" w14:textId="77777777" w:rsidR="00FA74F6" w:rsidRPr="00FA74F6" w:rsidRDefault="00FA74F6" w:rsidP="00FA74F6">
      <w:pPr>
        <w:spacing w:line="340" w:lineRule="atLeast"/>
        <w:ind w:right="2268"/>
        <w:jc w:val="both"/>
        <w:rPr>
          <w:rFonts w:ascii="Arial" w:eastAsia="Times New Roman" w:hAnsi="Arial" w:cs="Arial"/>
          <w:bCs/>
          <w:lang w:eastAsia="de-DE"/>
        </w:rPr>
      </w:pPr>
    </w:p>
    <w:p w14:paraId="4FD2BDCB" w14:textId="77777777" w:rsidR="00315D53" w:rsidRPr="005A07F8" w:rsidRDefault="00315D53" w:rsidP="005A07F8">
      <w:pPr>
        <w:spacing w:after="0" w:line="340" w:lineRule="atLeast"/>
        <w:ind w:right="2268"/>
        <w:jc w:val="both"/>
        <w:rPr>
          <w:rFonts w:ascii="Arial" w:eastAsia="Times New Roman" w:hAnsi="Arial" w:cs="Arial"/>
          <w:lang w:eastAsia="de-DE"/>
        </w:rPr>
      </w:pPr>
    </w:p>
    <w:p w14:paraId="62C7E43E" w14:textId="77777777" w:rsidR="00574FAD" w:rsidRPr="00633E3A" w:rsidRDefault="00574FAD" w:rsidP="00383891">
      <w:pPr>
        <w:spacing w:after="0" w:line="340" w:lineRule="atLeast"/>
        <w:ind w:right="2268"/>
        <w:jc w:val="both"/>
      </w:pPr>
    </w:p>
    <w:p w14:paraId="298C1403" w14:textId="77777777" w:rsidR="0021251B" w:rsidRPr="004D1FBD" w:rsidRDefault="0058674F" w:rsidP="004D1FBD">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4D1FBD"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D35E" w14:textId="77777777" w:rsidR="00744B9F" w:rsidRDefault="00744B9F" w:rsidP="008125E6">
      <w:pPr>
        <w:spacing w:after="0"/>
      </w:pPr>
      <w:r>
        <w:separator/>
      </w:r>
    </w:p>
  </w:endnote>
  <w:endnote w:type="continuationSeparator" w:id="0">
    <w:p w14:paraId="4B7C2811" w14:textId="77777777" w:rsidR="00744B9F" w:rsidRDefault="00744B9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98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119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BC09"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1E2339D1" wp14:editId="486DCD5C">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376C125F" w14:textId="77777777" w:rsidR="0065306F" w:rsidRDefault="0065306F" w:rsidP="0065306F">
                          <w:pPr>
                            <w:pBdr>
                              <w:top w:val="single" w:sz="4" w:space="1" w:color="auto"/>
                            </w:pBdr>
                            <w:spacing w:after="0"/>
                            <w:rPr>
                              <w:rFonts w:ascii="Arial" w:hAnsi="Arial" w:cs="Arial"/>
                              <w:sz w:val="14"/>
                              <w:szCs w:val="14"/>
                            </w:rPr>
                          </w:pPr>
                        </w:p>
                        <w:p w14:paraId="48099915"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3429AEA" w14:textId="77777777" w:rsidR="0065306F" w:rsidRPr="00EB444B" w:rsidRDefault="0065306F" w:rsidP="0065306F">
                          <w:pPr>
                            <w:spacing w:after="0"/>
                            <w:rPr>
                              <w:rFonts w:ascii="Arial" w:hAnsi="Arial" w:cs="Arial"/>
                              <w:color w:val="7F7F7F" w:themeColor="text1" w:themeTint="80"/>
                              <w:sz w:val="8"/>
                              <w:szCs w:val="8"/>
                            </w:rPr>
                          </w:pPr>
                        </w:p>
                        <w:p w14:paraId="1D3DC62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5E749B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502D361" w14:textId="77777777" w:rsidR="00AC5BCE" w:rsidRPr="00AC5BCE" w:rsidRDefault="00AC5BCE" w:rsidP="0065306F">
                          <w:pPr>
                            <w:spacing w:after="0"/>
                            <w:rPr>
                              <w:rFonts w:ascii="Arial" w:hAnsi="Arial" w:cs="Arial"/>
                              <w:color w:val="7F7F7F" w:themeColor="text1" w:themeTint="80"/>
                              <w:sz w:val="8"/>
                              <w:szCs w:val="8"/>
                            </w:rPr>
                          </w:pPr>
                        </w:p>
                        <w:p w14:paraId="0874266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AF2022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6148751E" w14:textId="77777777" w:rsidR="0065306F" w:rsidRDefault="0065306F" w:rsidP="0065306F">
                          <w:pPr>
                            <w:spacing w:after="0"/>
                            <w:rPr>
                              <w:rFonts w:ascii="Arial" w:hAnsi="Arial" w:cs="Arial"/>
                              <w:color w:val="7F7F7F" w:themeColor="text1" w:themeTint="80"/>
                              <w:sz w:val="8"/>
                              <w:szCs w:val="8"/>
                            </w:rPr>
                          </w:pPr>
                        </w:p>
                        <w:p w14:paraId="33C1E487"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3068E6B6"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43679B86" w14:textId="77777777" w:rsidR="00717437" w:rsidRPr="00717437" w:rsidRDefault="00717437" w:rsidP="0065306F">
                          <w:pPr>
                            <w:spacing w:after="0"/>
                            <w:rPr>
                              <w:rFonts w:ascii="Arial" w:hAnsi="Arial" w:cs="Arial"/>
                              <w:color w:val="7F7F7F" w:themeColor="text1" w:themeTint="80"/>
                              <w:sz w:val="8"/>
                              <w:szCs w:val="8"/>
                            </w:rPr>
                          </w:pPr>
                        </w:p>
                        <w:p w14:paraId="78C6417D"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8CB4222"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B4F794" w14:textId="77777777" w:rsidR="0065306F" w:rsidRPr="00EB444B" w:rsidRDefault="0065306F" w:rsidP="0065306F">
                          <w:pPr>
                            <w:spacing w:after="0"/>
                            <w:rPr>
                              <w:rFonts w:ascii="Arial" w:hAnsi="Arial" w:cs="Arial"/>
                              <w:color w:val="7F7F7F" w:themeColor="text1" w:themeTint="80"/>
                              <w:sz w:val="8"/>
                              <w:szCs w:val="8"/>
                            </w:rPr>
                          </w:pPr>
                        </w:p>
                        <w:p w14:paraId="318AD1D1"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5A00BB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57EEBF60"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D30B9C9" w14:textId="77777777" w:rsidR="0021251B" w:rsidRDefault="0021251B" w:rsidP="0065306F">
                          <w:pPr>
                            <w:spacing w:after="0"/>
                            <w:rPr>
                              <w:rFonts w:ascii="Arial" w:hAnsi="Arial" w:cs="Arial"/>
                              <w:color w:val="7F7F7F" w:themeColor="text1" w:themeTint="80"/>
                              <w:sz w:val="12"/>
                              <w:szCs w:val="12"/>
                            </w:rPr>
                          </w:pPr>
                        </w:p>
                        <w:p w14:paraId="51545425"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B2D00A9"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787F187A" w14:textId="77777777" w:rsidR="0021251B" w:rsidRPr="00EB444B" w:rsidRDefault="0021251B" w:rsidP="0065306F">
                          <w:pPr>
                            <w:spacing w:after="0"/>
                            <w:rPr>
                              <w:rFonts w:ascii="Arial" w:hAnsi="Arial" w:cs="Arial"/>
                              <w:color w:val="7F7F7F" w:themeColor="text1" w:themeTint="80"/>
                              <w:sz w:val="12"/>
                              <w:szCs w:val="12"/>
                            </w:rPr>
                          </w:pPr>
                        </w:p>
                        <w:p w14:paraId="3EDAEC4B"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6FA7C95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2E4157B" w14:textId="77777777" w:rsidR="00BB0243" w:rsidRPr="00EB444B" w:rsidRDefault="00BB0243" w:rsidP="0065306F">
                          <w:pPr>
                            <w:spacing w:after="0"/>
                            <w:rPr>
                              <w:rFonts w:ascii="Arial" w:hAnsi="Arial" w:cs="Arial"/>
                              <w:color w:val="7F7F7F" w:themeColor="text1" w:themeTint="80"/>
                              <w:sz w:val="8"/>
                              <w:szCs w:val="8"/>
                            </w:rPr>
                          </w:pPr>
                        </w:p>
                        <w:p w14:paraId="5318C15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77BED0A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E581FB0" w14:textId="77777777" w:rsidR="0065306F" w:rsidRPr="00EB444B" w:rsidRDefault="0065306F" w:rsidP="0065306F">
                          <w:pPr>
                            <w:spacing w:after="0"/>
                            <w:rPr>
                              <w:rFonts w:ascii="Arial" w:hAnsi="Arial" w:cs="Arial"/>
                              <w:sz w:val="8"/>
                              <w:szCs w:val="8"/>
                            </w:rPr>
                          </w:pPr>
                        </w:p>
                        <w:p w14:paraId="45C48E9C" w14:textId="77777777" w:rsidR="005F6092" w:rsidRPr="00EB444B" w:rsidRDefault="005F6092" w:rsidP="0065306F">
                          <w:pPr>
                            <w:spacing w:after="0"/>
                            <w:rPr>
                              <w:rFonts w:ascii="Arial" w:hAnsi="Arial" w:cs="Arial"/>
                              <w:sz w:val="8"/>
                              <w:szCs w:val="8"/>
                            </w:rPr>
                          </w:pPr>
                        </w:p>
                        <w:p w14:paraId="209FD143"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2E2BC1F8"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FBD1DA2"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526C82F"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BDAA85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1C68657C"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1421" w14:textId="77777777" w:rsidR="00744B9F" w:rsidRDefault="00744B9F" w:rsidP="008125E6">
      <w:pPr>
        <w:spacing w:after="0"/>
      </w:pPr>
      <w:r>
        <w:separator/>
      </w:r>
    </w:p>
  </w:footnote>
  <w:footnote w:type="continuationSeparator" w:id="0">
    <w:p w14:paraId="578246F4" w14:textId="77777777" w:rsidR="00744B9F" w:rsidRDefault="00744B9F"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DC03"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CBBE"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C103"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3A671E0" wp14:editId="136B803C">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251B"/>
    <w:rsid w:val="00020DA3"/>
    <w:rsid w:val="000210FE"/>
    <w:rsid w:val="00024819"/>
    <w:rsid w:val="00026B38"/>
    <w:rsid w:val="00031885"/>
    <w:rsid w:val="00060D57"/>
    <w:rsid w:val="00062536"/>
    <w:rsid w:val="0007527C"/>
    <w:rsid w:val="0008373B"/>
    <w:rsid w:val="00084B39"/>
    <w:rsid w:val="00092CED"/>
    <w:rsid w:val="00096D20"/>
    <w:rsid w:val="000A31C9"/>
    <w:rsid w:val="000C15C1"/>
    <w:rsid w:val="000C54EE"/>
    <w:rsid w:val="000D4C11"/>
    <w:rsid w:val="000F61BB"/>
    <w:rsid w:val="00111CA4"/>
    <w:rsid w:val="00121889"/>
    <w:rsid w:val="001253E9"/>
    <w:rsid w:val="001333C7"/>
    <w:rsid w:val="00133B3F"/>
    <w:rsid w:val="001734CD"/>
    <w:rsid w:val="00183CBD"/>
    <w:rsid w:val="001962FD"/>
    <w:rsid w:val="001C0544"/>
    <w:rsid w:val="001C3900"/>
    <w:rsid w:val="001C561E"/>
    <w:rsid w:val="001C7245"/>
    <w:rsid w:val="00205E46"/>
    <w:rsid w:val="0021251B"/>
    <w:rsid w:val="002156A6"/>
    <w:rsid w:val="00222BA3"/>
    <w:rsid w:val="00226015"/>
    <w:rsid w:val="00245172"/>
    <w:rsid w:val="002665AA"/>
    <w:rsid w:val="00277C56"/>
    <w:rsid w:val="0028690E"/>
    <w:rsid w:val="002875EB"/>
    <w:rsid w:val="002911C4"/>
    <w:rsid w:val="002A31B1"/>
    <w:rsid w:val="002A44EC"/>
    <w:rsid w:val="002A6D96"/>
    <w:rsid w:val="002B4C49"/>
    <w:rsid w:val="002B52C0"/>
    <w:rsid w:val="002B7D7C"/>
    <w:rsid w:val="002C1659"/>
    <w:rsid w:val="002F1B73"/>
    <w:rsid w:val="00312A58"/>
    <w:rsid w:val="00314EF3"/>
    <w:rsid w:val="00315D53"/>
    <w:rsid w:val="00323BD9"/>
    <w:rsid w:val="00326374"/>
    <w:rsid w:val="00335088"/>
    <w:rsid w:val="00347757"/>
    <w:rsid w:val="00350E79"/>
    <w:rsid w:val="00354602"/>
    <w:rsid w:val="00362EF7"/>
    <w:rsid w:val="00363F93"/>
    <w:rsid w:val="00383891"/>
    <w:rsid w:val="00396599"/>
    <w:rsid w:val="003B4AC3"/>
    <w:rsid w:val="003D3A58"/>
    <w:rsid w:val="003E44ED"/>
    <w:rsid w:val="003E5D46"/>
    <w:rsid w:val="00407552"/>
    <w:rsid w:val="00413F2A"/>
    <w:rsid w:val="00440091"/>
    <w:rsid w:val="00452B50"/>
    <w:rsid w:val="00462B9F"/>
    <w:rsid w:val="0046608A"/>
    <w:rsid w:val="00482684"/>
    <w:rsid w:val="004915FE"/>
    <w:rsid w:val="00495B97"/>
    <w:rsid w:val="004B392D"/>
    <w:rsid w:val="004B5A0A"/>
    <w:rsid w:val="004D1FBD"/>
    <w:rsid w:val="004E40FA"/>
    <w:rsid w:val="004E47E0"/>
    <w:rsid w:val="004F0985"/>
    <w:rsid w:val="004F46DC"/>
    <w:rsid w:val="0052054C"/>
    <w:rsid w:val="00522317"/>
    <w:rsid w:val="00532B8C"/>
    <w:rsid w:val="0053749D"/>
    <w:rsid w:val="00540AF0"/>
    <w:rsid w:val="00540DD3"/>
    <w:rsid w:val="0056210E"/>
    <w:rsid w:val="00570C6B"/>
    <w:rsid w:val="00574FAD"/>
    <w:rsid w:val="00583243"/>
    <w:rsid w:val="00583AEF"/>
    <w:rsid w:val="0058674F"/>
    <w:rsid w:val="00586EFC"/>
    <w:rsid w:val="005A07F8"/>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2337C"/>
    <w:rsid w:val="00734946"/>
    <w:rsid w:val="00744B9F"/>
    <w:rsid w:val="007755F0"/>
    <w:rsid w:val="0078717D"/>
    <w:rsid w:val="00795922"/>
    <w:rsid w:val="007C44FC"/>
    <w:rsid w:val="00802E1D"/>
    <w:rsid w:val="00810E3F"/>
    <w:rsid w:val="008125E6"/>
    <w:rsid w:val="00835799"/>
    <w:rsid w:val="00850E59"/>
    <w:rsid w:val="008556B9"/>
    <w:rsid w:val="00894E03"/>
    <w:rsid w:val="008A1F48"/>
    <w:rsid w:val="008A6278"/>
    <w:rsid w:val="008B2132"/>
    <w:rsid w:val="008B37EB"/>
    <w:rsid w:val="008B7F36"/>
    <w:rsid w:val="008C552E"/>
    <w:rsid w:val="008D015E"/>
    <w:rsid w:val="008E5076"/>
    <w:rsid w:val="008E50AB"/>
    <w:rsid w:val="008E5967"/>
    <w:rsid w:val="00927CA1"/>
    <w:rsid w:val="0095543A"/>
    <w:rsid w:val="00957747"/>
    <w:rsid w:val="00972647"/>
    <w:rsid w:val="00980D81"/>
    <w:rsid w:val="00995C59"/>
    <w:rsid w:val="00997648"/>
    <w:rsid w:val="009A320B"/>
    <w:rsid w:val="009A4F97"/>
    <w:rsid w:val="009A65AF"/>
    <w:rsid w:val="009B2FF0"/>
    <w:rsid w:val="009C153C"/>
    <w:rsid w:val="009D26E3"/>
    <w:rsid w:val="009D788B"/>
    <w:rsid w:val="009E0FE7"/>
    <w:rsid w:val="00A15341"/>
    <w:rsid w:val="00A41756"/>
    <w:rsid w:val="00A76369"/>
    <w:rsid w:val="00AC5BCE"/>
    <w:rsid w:val="00AC7345"/>
    <w:rsid w:val="00AE24DB"/>
    <w:rsid w:val="00B06B18"/>
    <w:rsid w:val="00B1353D"/>
    <w:rsid w:val="00B34514"/>
    <w:rsid w:val="00B402F1"/>
    <w:rsid w:val="00B52927"/>
    <w:rsid w:val="00B65874"/>
    <w:rsid w:val="00B7543C"/>
    <w:rsid w:val="00B87286"/>
    <w:rsid w:val="00BB0243"/>
    <w:rsid w:val="00BF222D"/>
    <w:rsid w:val="00C16F15"/>
    <w:rsid w:val="00C371CD"/>
    <w:rsid w:val="00C52B5E"/>
    <w:rsid w:val="00C62056"/>
    <w:rsid w:val="00C74DF5"/>
    <w:rsid w:val="00C77619"/>
    <w:rsid w:val="00C930CF"/>
    <w:rsid w:val="00C9558C"/>
    <w:rsid w:val="00C96C96"/>
    <w:rsid w:val="00CB4C2B"/>
    <w:rsid w:val="00CB6FDA"/>
    <w:rsid w:val="00CB748C"/>
    <w:rsid w:val="00CC21C5"/>
    <w:rsid w:val="00CD57D4"/>
    <w:rsid w:val="00CD6E55"/>
    <w:rsid w:val="00CE1A56"/>
    <w:rsid w:val="00CE7AC3"/>
    <w:rsid w:val="00D0219C"/>
    <w:rsid w:val="00D02C2A"/>
    <w:rsid w:val="00D23C98"/>
    <w:rsid w:val="00D30167"/>
    <w:rsid w:val="00D359AB"/>
    <w:rsid w:val="00D401F2"/>
    <w:rsid w:val="00D45457"/>
    <w:rsid w:val="00D6251F"/>
    <w:rsid w:val="00D628CC"/>
    <w:rsid w:val="00D63A75"/>
    <w:rsid w:val="00D7527B"/>
    <w:rsid w:val="00D80859"/>
    <w:rsid w:val="00D84AF8"/>
    <w:rsid w:val="00D852B3"/>
    <w:rsid w:val="00D96863"/>
    <w:rsid w:val="00DA13E6"/>
    <w:rsid w:val="00DA6CB4"/>
    <w:rsid w:val="00DB5181"/>
    <w:rsid w:val="00DD0FDE"/>
    <w:rsid w:val="00DD49DE"/>
    <w:rsid w:val="00DD648D"/>
    <w:rsid w:val="00E31F3B"/>
    <w:rsid w:val="00E362A4"/>
    <w:rsid w:val="00E40E2B"/>
    <w:rsid w:val="00E43AB7"/>
    <w:rsid w:val="00E60912"/>
    <w:rsid w:val="00E665EF"/>
    <w:rsid w:val="00E71D54"/>
    <w:rsid w:val="00E7480D"/>
    <w:rsid w:val="00E865D6"/>
    <w:rsid w:val="00E87038"/>
    <w:rsid w:val="00E9613E"/>
    <w:rsid w:val="00EB1379"/>
    <w:rsid w:val="00EB444B"/>
    <w:rsid w:val="00ED3823"/>
    <w:rsid w:val="00F05E50"/>
    <w:rsid w:val="00F10B67"/>
    <w:rsid w:val="00F13F3D"/>
    <w:rsid w:val="00F258F9"/>
    <w:rsid w:val="00F26034"/>
    <w:rsid w:val="00F4622D"/>
    <w:rsid w:val="00F47CA5"/>
    <w:rsid w:val="00F52545"/>
    <w:rsid w:val="00F71767"/>
    <w:rsid w:val="00F74CA4"/>
    <w:rsid w:val="00F77C15"/>
    <w:rsid w:val="00F8139F"/>
    <w:rsid w:val="00F8304C"/>
    <w:rsid w:val="00FA20E1"/>
    <w:rsid w:val="00FA346C"/>
    <w:rsid w:val="00FA74F6"/>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3A22E3"/>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8690E"/>
    <w:rPr>
      <w:sz w:val="16"/>
      <w:szCs w:val="16"/>
    </w:rPr>
  </w:style>
  <w:style w:type="paragraph" w:styleId="Kommentartext">
    <w:name w:val="annotation text"/>
    <w:basedOn w:val="Standard"/>
    <w:link w:val="KommentartextZchn"/>
    <w:uiPriority w:val="99"/>
    <w:semiHidden/>
    <w:unhideWhenUsed/>
    <w:rsid w:val="0028690E"/>
    <w:rPr>
      <w:sz w:val="20"/>
      <w:szCs w:val="20"/>
    </w:rPr>
  </w:style>
  <w:style w:type="character" w:customStyle="1" w:styleId="KommentartextZchn">
    <w:name w:val="Kommentartext Zchn"/>
    <w:basedOn w:val="Absatz-Standardschriftart"/>
    <w:link w:val="Kommentartext"/>
    <w:uiPriority w:val="99"/>
    <w:semiHidden/>
    <w:rsid w:val="0028690E"/>
    <w:rPr>
      <w:sz w:val="20"/>
      <w:szCs w:val="20"/>
    </w:rPr>
  </w:style>
  <w:style w:type="paragraph" w:styleId="Kommentarthema">
    <w:name w:val="annotation subject"/>
    <w:basedOn w:val="Kommentartext"/>
    <w:next w:val="Kommentartext"/>
    <w:link w:val="KommentarthemaZchn"/>
    <w:uiPriority w:val="99"/>
    <w:semiHidden/>
    <w:unhideWhenUsed/>
    <w:rsid w:val="0028690E"/>
    <w:rPr>
      <w:b/>
      <w:bCs/>
    </w:rPr>
  </w:style>
  <w:style w:type="character" w:customStyle="1" w:styleId="KommentarthemaZchn">
    <w:name w:val="Kommentarthema Zchn"/>
    <w:basedOn w:val="KommentartextZchn"/>
    <w:link w:val="Kommentarthema"/>
    <w:uiPriority w:val="99"/>
    <w:semiHidden/>
    <w:rsid w:val="00286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865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88955980">
      <w:bodyDiv w:val="1"/>
      <w:marLeft w:val="0"/>
      <w:marRight w:val="0"/>
      <w:marTop w:val="0"/>
      <w:marBottom w:val="0"/>
      <w:divBdr>
        <w:top w:val="none" w:sz="0" w:space="0" w:color="auto"/>
        <w:left w:val="none" w:sz="0" w:space="0" w:color="auto"/>
        <w:bottom w:val="none" w:sz="0" w:space="0" w:color="auto"/>
        <w:right w:val="none" w:sz="0" w:space="0" w:color="auto"/>
      </w:divBdr>
      <w:divsChild>
        <w:div w:id="807862301">
          <w:marLeft w:val="0"/>
          <w:marRight w:val="0"/>
          <w:marTop w:val="0"/>
          <w:marBottom w:val="0"/>
          <w:divBdr>
            <w:top w:val="none" w:sz="0" w:space="0" w:color="auto"/>
            <w:left w:val="none" w:sz="0" w:space="0" w:color="auto"/>
            <w:bottom w:val="none" w:sz="0" w:space="0" w:color="auto"/>
            <w:right w:val="none" w:sz="0" w:space="0" w:color="auto"/>
          </w:divBdr>
        </w:div>
      </w:divsChild>
    </w:div>
    <w:div w:id="1247762129">
      <w:bodyDiv w:val="1"/>
      <w:marLeft w:val="0"/>
      <w:marRight w:val="0"/>
      <w:marTop w:val="0"/>
      <w:marBottom w:val="0"/>
      <w:divBdr>
        <w:top w:val="none" w:sz="0" w:space="0" w:color="auto"/>
        <w:left w:val="none" w:sz="0" w:space="0" w:color="auto"/>
        <w:bottom w:val="none" w:sz="0" w:space="0" w:color="auto"/>
        <w:right w:val="none" w:sz="0" w:space="0" w:color="auto"/>
      </w:divBdr>
    </w:div>
    <w:div w:id="1431779193">
      <w:bodyDiv w:val="1"/>
      <w:marLeft w:val="0"/>
      <w:marRight w:val="0"/>
      <w:marTop w:val="0"/>
      <w:marBottom w:val="0"/>
      <w:divBdr>
        <w:top w:val="none" w:sz="0" w:space="0" w:color="auto"/>
        <w:left w:val="none" w:sz="0" w:space="0" w:color="auto"/>
        <w:bottom w:val="none" w:sz="0" w:space="0" w:color="auto"/>
        <w:right w:val="none" w:sz="0" w:space="0" w:color="auto"/>
      </w:divBdr>
      <w:divsChild>
        <w:div w:id="968170170">
          <w:marLeft w:val="0"/>
          <w:marRight w:val="0"/>
          <w:marTop w:val="0"/>
          <w:marBottom w:val="0"/>
          <w:divBdr>
            <w:top w:val="none" w:sz="0" w:space="0" w:color="auto"/>
            <w:left w:val="none" w:sz="0" w:space="0" w:color="auto"/>
            <w:bottom w:val="none" w:sz="0" w:space="0" w:color="auto"/>
            <w:right w:val="none" w:sz="0" w:space="0" w:color="auto"/>
          </w:divBdr>
        </w:div>
      </w:divsChild>
    </w:div>
    <w:div w:id="1623346933">
      <w:bodyDiv w:val="1"/>
      <w:marLeft w:val="0"/>
      <w:marRight w:val="0"/>
      <w:marTop w:val="0"/>
      <w:marBottom w:val="0"/>
      <w:divBdr>
        <w:top w:val="none" w:sz="0" w:space="0" w:color="auto"/>
        <w:left w:val="none" w:sz="0" w:space="0" w:color="auto"/>
        <w:bottom w:val="none" w:sz="0" w:space="0" w:color="auto"/>
        <w:right w:val="none" w:sz="0" w:space="0" w:color="auto"/>
      </w:divBdr>
      <w:divsChild>
        <w:div w:id="759300531">
          <w:marLeft w:val="0"/>
          <w:marRight w:val="0"/>
          <w:marTop w:val="0"/>
          <w:marBottom w:val="0"/>
          <w:divBdr>
            <w:top w:val="none" w:sz="0" w:space="0" w:color="auto"/>
            <w:left w:val="none" w:sz="0" w:space="0" w:color="auto"/>
            <w:bottom w:val="none" w:sz="0" w:space="0" w:color="auto"/>
            <w:right w:val="none" w:sz="0" w:space="0" w:color="auto"/>
          </w:divBdr>
        </w:div>
      </w:divsChild>
    </w:div>
    <w:div w:id="1864779939">
      <w:bodyDiv w:val="1"/>
      <w:marLeft w:val="0"/>
      <w:marRight w:val="0"/>
      <w:marTop w:val="0"/>
      <w:marBottom w:val="0"/>
      <w:divBdr>
        <w:top w:val="none" w:sz="0" w:space="0" w:color="auto"/>
        <w:left w:val="none" w:sz="0" w:space="0" w:color="auto"/>
        <w:bottom w:val="none" w:sz="0" w:space="0" w:color="auto"/>
        <w:right w:val="none" w:sz="0" w:space="0" w:color="auto"/>
      </w:divBdr>
      <w:divsChild>
        <w:div w:id="277224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CDEE-6CA5-4072-9FAB-6FA12025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4</cp:revision>
  <cp:lastPrinted>2022-04-01T09:30:00Z</cp:lastPrinted>
  <dcterms:created xsi:type="dcterms:W3CDTF">2022-04-01T09:27:00Z</dcterms:created>
  <dcterms:modified xsi:type="dcterms:W3CDTF">2022-04-01T09:30:00Z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