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4E1D78" w:rsidRDefault="00C930C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bCs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1F24B0">
        <w:rPr>
          <w:rFonts w:ascii="Arial" w:eastAsia="Times New Roman" w:hAnsi="Arial" w:cs="Times New Roman"/>
          <w:b/>
          <w:szCs w:val="20"/>
          <w:u w:val="single"/>
          <w:lang w:eastAsia="de-DE"/>
        </w:rPr>
        <w:t>zur</w:t>
      </w:r>
      <w:r w:rsidR="004E1D78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DKI</w:t>
      </w:r>
      <w:r w:rsidR="003912D2">
        <w:rPr>
          <w:rFonts w:ascii="Arial" w:eastAsia="Times New Roman" w:hAnsi="Arial" w:cs="Times New Roman"/>
          <w:b/>
          <w:szCs w:val="20"/>
          <w:u w:val="single"/>
          <w:lang w:eastAsia="de-DE"/>
        </w:rPr>
        <w:t>-</w:t>
      </w:r>
      <w:r w:rsidR="004E1D78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Analyse </w:t>
      </w:r>
      <w:r w:rsidR="003912D2">
        <w:rPr>
          <w:rFonts w:ascii="Arial" w:eastAsia="Times New Roman" w:hAnsi="Arial" w:cs="Times New Roman"/>
          <w:b/>
          <w:szCs w:val="20"/>
          <w:u w:val="single"/>
          <w:lang w:eastAsia="de-DE"/>
        </w:rPr>
        <w:t>„</w:t>
      </w:r>
      <w:r w:rsidR="004E1D78" w:rsidRPr="004E1D78">
        <w:rPr>
          <w:rFonts w:ascii="Arial" w:eastAsia="Times New Roman" w:hAnsi="Arial" w:cs="Times New Roman"/>
          <w:b/>
          <w:bCs/>
          <w:szCs w:val="20"/>
          <w:u w:val="single"/>
          <w:lang w:eastAsia="de-DE"/>
        </w:rPr>
        <w:t xml:space="preserve">Aussagekraft von Krankenhausstruktur- </w:t>
      </w:r>
    </w:p>
    <w:p w:rsidR="001962FD" w:rsidRDefault="004E1D78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4E1D78">
        <w:rPr>
          <w:rFonts w:ascii="Arial" w:eastAsia="Times New Roman" w:hAnsi="Arial" w:cs="Times New Roman"/>
          <w:b/>
          <w:bCs/>
          <w:szCs w:val="20"/>
          <w:u w:val="single"/>
          <w:lang w:eastAsia="de-DE"/>
        </w:rPr>
        <w:t>und Qualitätsvergleichen auf Basis von OECD-Daten</w:t>
      </w:r>
      <w:r w:rsidR="003912D2">
        <w:rPr>
          <w:rFonts w:ascii="Arial" w:eastAsia="Times New Roman" w:hAnsi="Arial" w:cs="Times New Roman"/>
          <w:b/>
          <w:bCs/>
          <w:szCs w:val="20"/>
          <w:u w:val="single"/>
          <w:lang w:eastAsia="de-DE"/>
        </w:rPr>
        <w:t>“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Default="00315286" w:rsidP="001962FD">
      <w:pPr>
        <w:spacing w:after="0" w:line="340" w:lineRule="atLeast"/>
        <w:ind w:right="2268"/>
        <w:jc w:val="both"/>
        <w:rPr>
          <w:rFonts w:ascii="Arial" w:eastAsia="Times New Roman" w:hAnsi="Arial" w:cs="Arial"/>
          <w:b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sz w:val="32"/>
          <w:szCs w:val="32"/>
          <w:lang w:eastAsia="de-DE"/>
        </w:rPr>
        <w:t>I</w:t>
      </w:r>
      <w:r w:rsidR="004E1D78" w:rsidRPr="004E1D78">
        <w:rPr>
          <w:rFonts w:ascii="Arial" w:eastAsia="Times New Roman" w:hAnsi="Arial" w:cs="Arial"/>
          <w:b/>
          <w:sz w:val="32"/>
          <w:szCs w:val="32"/>
          <w:lang w:eastAsia="de-DE"/>
        </w:rPr>
        <w:t>nternationale  Vergleiche der Krankenhaus</w:t>
      </w:r>
      <w:r w:rsidR="004E1D78">
        <w:rPr>
          <w:rFonts w:ascii="Arial" w:eastAsia="Times New Roman" w:hAnsi="Arial" w:cs="Arial"/>
          <w:b/>
          <w:sz w:val="32"/>
          <w:szCs w:val="32"/>
          <w:lang w:eastAsia="de-DE"/>
        </w:rPr>
        <w:t>-</w:t>
      </w:r>
      <w:r w:rsidR="004E1D78" w:rsidRPr="004E1D78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versorgung sind vielfach undifferenziert </w:t>
      </w:r>
    </w:p>
    <w:p w:rsidR="004E1D78" w:rsidRPr="00633E3A" w:rsidRDefault="004E1D78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B47BE5" w:rsidRDefault="00D30167" w:rsidP="00B47BE5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B9002C">
        <w:rPr>
          <w:rFonts w:ascii="Arial" w:eastAsia="Times New Roman" w:hAnsi="Arial" w:cs="Arial"/>
          <w:noProof/>
          <w:lang w:eastAsia="de-DE"/>
        </w:rPr>
        <w:t>5. Juli 2021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4E1D78">
        <w:rPr>
          <w:rFonts w:ascii="Arial" w:eastAsia="Times New Roman" w:hAnsi="Arial" w:cs="Arial"/>
          <w:lang w:eastAsia="de-DE"/>
        </w:rPr>
        <w:t xml:space="preserve"> </w:t>
      </w:r>
      <w:r w:rsidR="003912D2">
        <w:rPr>
          <w:rFonts w:ascii="Arial" w:eastAsia="Times New Roman" w:hAnsi="Arial" w:cs="Arial"/>
          <w:lang w:eastAsia="de-DE"/>
        </w:rPr>
        <w:t>Behauptungen über v</w:t>
      </w:r>
      <w:r w:rsidR="004E1D78" w:rsidRPr="004E1D78">
        <w:rPr>
          <w:rFonts w:ascii="Arial" w:eastAsia="Times New Roman" w:hAnsi="Arial" w:cs="Arial"/>
          <w:lang w:eastAsia="de-DE"/>
        </w:rPr>
        <w:t xml:space="preserve">ermeintliche Versorgungs- und Qualitätsprobleme </w:t>
      </w:r>
      <w:r w:rsidR="003912D2">
        <w:rPr>
          <w:rFonts w:ascii="Arial" w:eastAsia="Times New Roman" w:hAnsi="Arial" w:cs="Arial"/>
          <w:lang w:eastAsia="de-DE"/>
        </w:rPr>
        <w:t xml:space="preserve">in </w:t>
      </w:r>
      <w:r w:rsidR="004E1D78" w:rsidRPr="004E1D78">
        <w:rPr>
          <w:rFonts w:ascii="Arial" w:eastAsia="Times New Roman" w:hAnsi="Arial" w:cs="Arial"/>
          <w:lang w:eastAsia="de-DE"/>
        </w:rPr>
        <w:t>der deutschen Krankenhaus</w:t>
      </w:r>
      <w:r w:rsidR="003912D2">
        <w:rPr>
          <w:rFonts w:ascii="Arial" w:eastAsia="Times New Roman" w:hAnsi="Arial" w:cs="Arial"/>
          <w:lang w:eastAsia="de-DE"/>
        </w:rPr>
        <w:t>landschaft</w:t>
      </w:r>
      <w:r w:rsidR="004E1D78" w:rsidRPr="004E1D78">
        <w:rPr>
          <w:rFonts w:ascii="Arial" w:eastAsia="Times New Roman" w:hAnsi="Arial" w:cs="Arial"/>
          <w:lang w:eastAsia="de-DE"/>
        </w:rPr>
        <w:t xml:space="preserve"> im Ländervergleich </w:t>
      </w:r>
      <w:r w:rsidR="004E1D78">
        <w:rPr>
          <w:rFonts w:ascii="Arial" w:eastAsia="Times New Roman" w:hAnsi="Arial" w:cs="Arial"/>
          <w:lang w:eastAsia="de-DE"/>
        </w:rPr>
        <w:t>sind oftmals falsch oder müssen deutlich relativiert werden</w:t>
      </w:r>
      <w:r w:rsidR="003912D2">
        <w:rPr>
          <w:rFonts w:ascii="Arial" w:eastAsia="Times New Roman" w:hAnsi="Arial" w:cs="Arial"/>
          <w:lang w:eastAsia="de-DE"/>
        </w:rPr>
        <w:t>.</w:t>
      </w:r>
      <w:r w:rsidR="004E1D78">
        <w:rPr>
          <w:rFonts w:ascii="Arial" w:eastAsia="Times New Roman" w:hAnsi="Arial" w:cs="Arial"/>
          <w:lang w:eastAsia="de-DE"/>
        </w:rPr>
        <w:t xml:space="preserve"> </w:t>
      </w:r>
      <w:r w:rsidR="003912D2">
        <w:rPr>
          <w:rFonts w:ascii="Arial" w:eastAsia="Times New Roman" w:hAnsi="Arial" w:cs="Arial"/>
          <w:lang w:eastAsia="de-DE"/>
        </w:rPr>
        <w:t>I</w:t>
      </w:r>
      <w:r w:rsidR="004E1D78" w:rsidRPr="004E1D78">
        <w:rPr>
          <w:rFonts w:ascii="Arial" w:eastAsia="Times New Roman" w:hAnsi="Arial" w:cs="Arial"/>
          <w:lang w:eastAsia="de-DE"/>
        </w:rPr>
        <w:t xml:space="preserve">nternationale Vergleiche der Krankenhausversorgung </w:t>
      </w:r>
      <w:r w:rsidR="004E1D78">
        <w:rPr>
          <w:rFonts w:ascii="Arial" w:eastAsia="Times New Roman" w:hAnsi="Arial" w:cs="Arial"/>
          <w:lang w:eastAsia="de-DE"/>
        </w:rPr>
        <w:t xml:space="preserve">sind </w:t>
      </w:r>
      <w:r w:rsidR="004E1D78" w:rsidRPr="004E1D78">
        <w:rPr>
          <w:rFonts w:ascii="Arial" w:eastAsia="Times New Roman" w:hAnsi="Arial" w:cs="Arial"/>
          <w:lang w:eastAsia="de-DE"/>
        </w:rPr>
        <w:t>vielfach undifferenziert und unkritisch</w:t>
      </w:r>
      <w:r w:rsidR="004E1D78">
        <w:rPr>
          <w:rFonts w:ascii="Arial" w:eastAsia="Times New Roman" w:hAnsi="Arial" w:cs="Arial"/>
          <w:lang w:eastAsia="de-DE"/>
        </w:rPr>
        <w:t xml:space="preserve">. Zu diesem Ergebnis kommt </w:t>
      </w:r>
      <w:r w:rsidR="004E1D78" w:rsidRPr="00B47BE5">
        <w:rPr>
          <w:rFonts w:ascii="Arial" w:eastAsia="Times New Roman" w:hAnsi="Arial" w:cs="Arial"/>
          <w:lang w:eastAsia="de-DE"/>
        </w:rPr>
        <w:t xml:space="preserve">eine Analyse </w:t>
      </w:r>
      <w:r w:rsidR="004E1D78">
        <w:rPr>
          <w:rFonts w:ascii="Arial" w:eastAsia="Times New Roman" w:hAnsi="Arial" w:cs="Arial"/>
          <w:lang w:eastAsia="de-DE"/>
        </w:rPr>
        <w:t xml:space="preserve">des </w:t>
      </w:r>
      <w:r w:rsidR="004E1D78" w:rsidRPr="00B47BE5">
        <w:rPr>
          <w:rFonts w:ascii="Arial" w:eastAsia="Times New Roman" w:hAnsi="Arial" w:cs="Arial"/>
          <w:lang w:eastAsia="de-DE"/>
        </w:rPr>
        <w:t>Deutsche</w:t>
      </w:r>
      <w:r w:rsidR="003912D2">
        <w:rPr>
          <w:rFonts w:ascii="Arial" w:eastAsia="Times New Roman" w:hAnsi="Arial" w:cs="Arial"/>
          <w:lang w:eastAsia="de-DE"/>
        </w:rPr>
        <w:t>n</w:t>
      </w:r>
      <w:r w:rsidR="004E1D78" w:rsidRPr="00B47BE5">
        <w:rPr>
          <w:rFonts w:ascii="Arial" w:eastAsia="Times New Roman" w:hAnsi="Arial" w:cs="Arial"/>
          <w:lang w:eastAsia="de-DE"/>
        </w:rPr>
        <w:t xml:space="preserve"> Krankenhausinstitut</w:t>
      </w:r>
      <w:r w:rsidR="004E1D78">
        <w:rPr>
          <w:rFonts w:ascii="Arial" w:eastAsia="Times New Roman" w:hAnsi="Arial" w:cs="Arial"/>
          <w:lang w:eastAsia="de-DE"/>
        </w:rPr>
        <w:t>s</w:t>
      </w:r>
      <w:r w:rsidR="004E1D78" w:rsidRPr="00B47BE5">
        <w:rPr>
          <w:rFonts w:ascii="Arial" w:eastAsia="Times New Roman" w:hAnsi="Arial" w:cs="Arial"/>
          <w:lang w:eastAsia="de-DE"/>
        </w:rPr>
        <w:t xml:space="preserve"> (DKI)</w:t>
      </w:r>
      <w:r w:rsidR="003912D2">
        <w:rPr>
          <w:rFonts w:ascii="Arial" w:eastAsia="Times New Roman" w:hAnsi="Arial" w:cs="Arial"/>
          <w:lang w:eastAsia="de-DE"/>
        </w:rPr>
        <w:t>,</w:t>
      </w:r>
      <w:r w:rsidR="004E1D78" w:rsidRPr="00B47BE5">
        <w:rPr>
          <w:rFonts w:ascii="Arial" w:eastAsia="Times New Roman" w:hAnsi="Arial" w:cs="Arial"/>
          <w:lang w:eastAsia="de-DE"/>
        </w:rPr>
        <w:t xml:space="preserve"> </w:t>
      </w:r>
      <w:r w:rsidR="004E1D78">
        <w:rPr>
          <w:rFonts w:ascii="Arial" w:eastAsia="Times New Roman" w:hAnsi="Arial" w:cs="Arial"/>
          <w:lang w:eastAsia="de-DE"/>
        </w:rPr>
        <w:t xml:space="preserve">in der </w:t>
      </w:r>
      <w:r w:rsidR="004E1D78" w:rsidRPr="00B47BE5">
        <w:rPr>
          <w:rFonts w:ascii="Arial" w:eastAsia="Times New Roman" w:hAnsi="Arial" w:cs="Arial"/>
          <w:lang w:eastAsia="de-DE"/>
        </w:rPr>
        <w:t>ausgewählte</w:t>
      </w:r>
      <w:r w:rsidR="004E1D78">
        <w:rPr>
          <w:rFonts w:ascii="Arial" w:eastAsia="Times New Roman" w:hAnsi="Arial" w:cs="Arial"/>
          <w:lang w:eastAsia="de-DE"/>
        </w:rPr>
        <w:t xml:space="preserve"> </w:t>
      </w:r>
      <w:r w:rsidR="004E1D78" w:rsidRPr="00B47BE5">
        <w:rPr>
          <w:rFonts w:ascii="Arial" w:eastAsia="Times New Roman" w:hAnsi="Arial" w:cs="Arial"/>
          <w:lang w:eastAsia="de-DE"/>
        </w:rPr>
        <w:t>Gesundheits-</w:t>
      </w:r>
      <w:r w:rsidR="004E1D78">
        <w:rPr>
          <w:rFonts w:ascii="Arial" w:eastAsia="Times New Roman" w:hAnsi="Arial" w:cs="Arial"/>
          <w:lang w:eastAsia="de-DE"/>
        </w:rPr>
        <w:t xml:space="preserve"> </w:t>
      </w:r>
      <w:r w:rsidR="004E1D78" w:rsidRPr="00B47BE5">
        <w:rPr>
          <w:rFonts w:ascii="Arial" w:eastAsia="Times New Roman" w:hAnsi="Arial" w:cs="Arial"/>
          <w:lang w:eastAsia="de-DE"/>
        </w:rPr>
        <w:t>und</w:t>
      </w:r>
      <w:r w:rsidR="004E1D78">
        <w:rPr>
          <w:rFonts w:ascii="Arial" w:eastAsia="Times New Roman" w:hAnsi="Arial" w:cs="Arial"/>
          <w:lang w:eastAsia="de-DE"/>
        </w:rPr>
        <w:t xml:space="preserve"> </w:t>
      </w:r>
      <w:r w:rsidR="004E1D78" w:rsidRPr="00B47BE5">
        <w:rPr>
          <w:rFonts w:ascii="Arial" w:eastAsia="Times New Roman" w:hAnsi="Arial" w:cs="Arial"/>
          <w:lang w:eastAsia="de-DE"/>
        </w:rPr>
        <w:t xml:space="preserve">Versorgungsindikatoren der OECD-Datenbank </w:t>
      </w:r>
      <w:r w:rsidR="003912D2">
        <w:rPr>
          <w:rFonts w:ascii="Arial" w:eastAsia="Times New Roman" w:hAnsi="Arial" w:cs="Arial"/>
          <w:lang w:eastAsia="de-DE"/>
        </w:rPr>
        <w:t xml:space="preserve">darauf </w:t>
      </w:r>
      <w:r w:rsidR="004E1D78" w:rsidRPr="00B47BE5">
        <w:rPr>
          <w:rFonts w:ascii="Arial" w:eastAsia="Times New Roman" w:hAnsi="Arial" w:cs="Arial"/>
          <w:lang w:eastAsia="de-DE"/>
        </w:rPr>
        <w:t>untersucht</w:t>
      </w:r>
      <w:r w:rsidR="004E1D78">
        <w:rPr>
          <w:rFonts w:ascii="Arial" w:eastAsia="Times New Roman" w:hAnsi="Arial" w:cs="Arial"/>
          <w:lang w:eastAsia="de-DE"/>
        </w:rPr>
        <w:t xml:space="preserve"> wurden, ob diese für Vergleiche geeignet sind</w:t>
      </w:r>
      <w:r w:rsidR="004E1D78" w:rsidRPr="00B47BE5">
        <w:rPr>
          <w:rFonts w:ascii="Arial" w:eastAsia="Times New Roman" w:hAnsi="Arial" w:cs="Arial"/>
          <w:lang w:eastAsia="de-DE"/>
        </w:rPr>
        <w:t>.</w:t>
      </w:r>
      <w:r w:rsidR="004E1D78">
        <w:rPr>
          <w:rFonts w:ascii="Arial" w:eastAsia="Times New Roman" w:hAnsi="Arial" w:cs="Arial"/>
          <w:lang w:eastAsia="de-DE"/>
        </w:rPr>
        <w:t xml:space="preserve"> Dabei </w:t>
      </w:r>
      <w:r w:rsidR="0069117B">
        <w:rPr>
          <w:rFonts w:ascii="Arial" w:eastAsia="Times New Roman" w:hAnsi="Arial" w:cs="Arial"/>
          <w:lang w:eastAsia="de-DE"/>
        </w:rPr>
        <w:t xml:space="preserve">haben die </w:t>
      </w:r>
      <w:r w:rsidR="00361397">
        <w:rPr>
          <w:rFonts w:ascii="Arial" w:eastAsia="Times New Roman" w:hAnsi="Arial" w:cs="Arial"/>
          <w:lang w:eastAsia="de-DE"/>
        </w:rPr>
        <w:t>Ersteller der Studie</w:t>
      </w:r>
      <w:r w:rsidR="004E1D78">
        <w:rPr>
          <w:rFonts w:ascii="Arial" w:eastAsia="Times New Roman" w:hAnsi="Arial" w:cs="Arial"/>
          <w:lang w:eastAsia="de-DE"/>
        </w:rPr>
        <w:t xml:space="preserve"> hinterfragt, ob den Daten einheitliche</w:t>
      </w:r>
      <w:r w:rsidR="004E1D78" w:rsidRPr="00B47BE5">
        <w:rPr>
          <w:rFonts w:ascii="Arial" w:eastAsia="Times New Roman" w:hAnsi="Arial" w:cs="Arial"/>
          <w:lang w:eastAsia="de-DE"/>
        </w:rPr>
        <w:t xml:space="preserve"> Datengrundlagen </w:t>
      </w:r>
      <w:r w:rsidR="004E1D78">
        <w:rPr>
          <w:rFonts w:ascii="Arial" w:eastAsia="Times New Roman" w:hAnsi="Arial" w:cs="Arial"/>
          <w:lang w:eastAsia="de-DE"/>
        </w:rPr>
        <w:t xml:space="preserve">oder </w:t>
      </w:r>
      <w:r w:rsidR="004E1D78" w:rsidRPr="00B47BE5">
        <w:rPr>
          <w:rFonts w:ascii="Arial" w:eastAsia="Times New Roman" w:hAnsi="Arial" w:cs="Arial"/>
          <w:lang w:eastAsia="de-DE"/>
        </w:rPr>
        <w:t>Definitionen</w:t>
      </w:r>
      <w:r w:rsidR="004E1D78">
        <w:rPr>
          <w:rFonts w:ascii="Arial" w:eastAsia="Times New Roman" w:hAnsi="Arial" w:cs="Arial"/>
          <w:lang w:eastAsia="de-DE"/>
        </w:rPr>
        <w:t xml:space="preserve"> zugrunde liegen und wie valide</w:t>
      </w:r>
      <w:r w:rsidR="00361397">
        <w:rPr>
          <w:rFonts w:ascii="Arial" w:eastAsia="Times New Roman" w:hAnsi="Arial" w:cs="Arial"/>
          <w:lang w:eastAsia="de-DE"/>
        </w:rPr>
        <w:t xml:space="preserve"> diese</w:t>
      </w:r>
      <w:r w:rsidR="004E1D78">
        <w:rPr>
          <w:rFonts w:ascii="Arial" w:eastAsia="Times New Roman" w:hAnsi="Arial" w:cs="Arial"/>
          <w:lang w:eastAsia="de-DE"/>
        </w:rPr>
        <w:t xml:space="preserve"> Daten sind</w:t>
      </w:r>
      <w:r w:rsidR="004E1D78" w:rsidRPr="00B47BE5">
        <w:rPr>
          <w:rFonts w:ascii="Arial" w:eastAsia="Times New Roman" w:hAnsi="Arial" w:cs="Arial"/>
          <w:lang w:eastAsia="de-DE"/>
        </w:rPr>
        <w:t xml:space="preserve">. In einem zweiten Schritt wurden Besonderheiten der jeweiligen Gesundheitssysteme und bevölkerungsspezifischen Merkmale </w:t>
      </w:r>
      <w:r w:rsidR="004E1D78">
        <w:rPr>
          <w:rFonts w:ascii="Arial" w:eastAsia="Times New Roman" w:hAnsi="Arial" w:cs="Arial"/>
          <w:lang w:eastAsia="de-DE"/>
        </w:rPr>
        <w:t>in die Analyse einbez</w:t>
      </w:r>
      <w:r w:rsidR="004E1D78" w:rsidRPr="00B47BE5">
        <w:rPr>
          <w:rFonts w:ascii="Arial" w:eastAsia="Times New Roman" w:hAnsi="Arial" w:cs="Arial"/>
          <w:lang w:eastAsia="de-DE"/>
        </w:rPr>
        <w:t>ogen, um</w:t>
      </w:r>
      <w:r w:rsidR="004E1D78">
        <w:rPr>
          <w:rFonts w:ascii="Arial" w:eastAsia="Times New Roman" w:hAnsi="Arial" w:cs="Arial"/>
          <w:lang w:eastAsia="de-DE"/>
        </w:rPr>
        <w:t xml:space="preserve"> </w:t>
      </w:r>
      <w:r w:rsidR="004E1D78" w:rsidRPr="00B47BE5">
        <w:rPr>
          <w:rFonts w:ascii="Arial" w:eastAsia="Times New Roman" w:hAnsi="Arial" w:cs="Arial"/>
          <w:lang w:eastAsia="de-DE"/>
        </w:rPr>
        <w:t>Unterschiede zu erklären und die Aussagefähigkeit der Statistiken einzuordnen.</w:t>
      </w:r>
      <w:r w:rsidR="004E1D78">
        <w:rPr>
          <w:rFonts w:ascii="Arial" w:eastAsia="Times New Roman" w:hAnsi="Arial" w:cs="Arial"/>
          <w:lang w:eastAsia="de-DE"/>
        </w:rPr>
        <w:t xml:space="preserve"> </w:t>
      </w:r>
    </w:p>
    <w:p w:rsidR="003634DC" w:rsidRPr="00B47BE5" w:rsidRDefault="003634DC" w:rsidP="00B47BE5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B47BE5" w:rsidRDefault="00B47BE5" w:rsidP="00B47BE5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B47BE5">
        <w:rPr>
          <w:rFonts w:ascii="Arial" w:eastAsia="Times New Roman" w:hAnsi="Arial" w:cs="Arial"/>
          <w:lang w:eastAsia="de-DE"/>
        </w:rPr>
        <w:t>Als Vergleichsländer wurden neben Deutschland, Österreich, Frankreich, Dänemark und die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Niederlande herangezogen. Dem internationalen Vergleich wurden ausgewählte Mortalitäts-,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Morbiditäts- und Versorgungsindikatoren zugrunde gelegt:</w:t>
      </w:r>
      <w:r w:rsidR="003634DC">
        <w:rPr>
          <w:rFonts w:ascii="Arial" w:eastAsia="Times New Roman" w:hAnsi="Arial" w:cs="Arial"/>
          <w:lang w:eastAsia="de-DE"/>
        </w:rPr>
        <w:t xml:space="preserve"> </w:t>
      </w:r>
    </w:p>
    <w:p w:rsidR="00675FDF" w:rsidRDefault="00675FDF" w:rsidP="00B47BE5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B47BE5" w:rsidRPr="004E1D78" w:rsidRDefault="00B47BE5" w:rsidP="00B47BE5">
      <w:pPr>
        <w:spacing w:after="0" w:line="340" w:lineRule="atLeast"/>
        <w:ind w:right="2268"/>
        <w:jc w:val="both"/>
        <w:rPr>
          <w:rFonts w:ascii="Arial" w:eastAsia="Times New Roman" w:hAnsi="Arial" w:cs="Arial"/>
          <w:b/>
          <w:lang w:eastAsia="de-DE"/>
        </w:rPr>
      </w:pPr>
      <w:r w:rsidRPr="004E1D78">
        <w:rPr>
          <w:rFonts w:ascii="Arial" w:eastAsia="Times New Roman" w:hAnsi="Arial" w:cs="Arial"/>
          <w:b/>
          <w:lang w:eastAsia="de-DE"/>
        </w:rPr>
        <w:t>Zentrale Ergebnisse</w:t>
      </w:r>
      <w:r w:rsidR="003634DC" w:rsidRPr="004E1D78">
        <w:rPr>
          <w:rFonts w:ascii="Arial" w:eastAsia="Times New Roman" w:hAnsi="Arial" w:cs="Arial"/>
          <w:b/>
          <w:lang w:eastAsia="de-DE"/>
        </w:rPr>
        <w:t>:</w:t>
      </w:r>
    </w:p>
    <w:p w:rsidR="003634DC" w:rsidRPr="00B47BE5" w:rsidRDefault="003634DC" w:rsidP="00B47BE5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B47BE5" w:rsidRPr="004E1D78" w:rsidRDefault="00B47BE5" w:rsidP="00675FDF">
      <w:pPr>
        <w:spacing w:after="0" w:line="340" w:lineRule="atLeast"/>
        <w:ind w:right="2268"/>
        <w:jc w:val="both"/>
        <w:rPr>
          <w:rFonts w:ascii="Arial" w:eastAsia="Times New Roman" w:hAnsi="Arial" w:cs="Arial"/>
          <w:i/>
          <w:iCs/>
          <w:u w:val="single"/>
          <w:lang w:eastAsia="de-DE"/>
        </w:rPr>
      </w:pPr>
      <w:r w:rsidRPr="004E1D78">
        <w:rPr>
          <w:rFonts w:ascii="Arial" w:eastAsia="Times New Roman" w:hAnsi="Arial" w:cs="Arial"/>
          <w:i/>
          <w:iCs/>
          <w:u w:val="single"/>
          <w:lang w:eastAsia="de-DE"/>
        </w:rPr>
        <w:t>30-Tage-Herzinfarkt- und Schlaganfallmortalität und Krankenhausaufnahmen bei Diabetes</w:t>
      </w:r>
      <w:r w:rsidR="003634DC" w:rsidRPr="004E1D78">
        <w:rPr>
          <w:rFonts w:ascii="Arial" w:eastAsia="Times New Roman" w:hAnsi="Arial" w:cs="Arial"/>
          <w:i/>
          <w:iCs/>
          <w:u w:val="single"/>
          <w:lang w:eastAsia="de-DE"/>
        </w:rPr>
        <w:t xml:space="preserve"> </w:t>
      </w:r>
    </w:p>
    <w:p w:rsidR="003634DC" w:rsidRPr="00B47BE5" w:rsidRDefault="003634DC" w:rsidP="00B47BE5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B47BE5" w:rsidRDefault="00B47BE5" w:rsidP="00B47BE5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B47BE5">
        <w:rPr>
          <w:rFonts w:ascii="Arial" w:eastAsia="Times New Roman" w:hAnsi="Arial" w:cs="Arial"/>
          <w:lang w:eastAsia="de-DE"/>
        </w:rPr>
        <w:t>•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 xml:space="preserve">Auf Basis von OECD-Daten zur 30-Tage-Herzinfarkt- und Schlaganfallmortalität nach stationärer Aufnahme wird Deutschland eine im internationalen Vergleich vermeintlich hohe Herzinfarkt- bzw. </w:t>
      </w:r>
      <w:r w:rsidRPr="00B47BE5">
        <w:rPr>
          <w:rFonts w:ascii="Arial" w:eastAsia="Times New Roman" w:hAnsi="Arial" w:cs="Arial"/>
          <w:lang w:eastAsia="de-DE"/>
        </w:rPr>
        <w:lastRenderedPageBreak/>
        <w:t>Schlaganfallsterblichkeit attestiert, was bei genauerer Betrachtung der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Datenlage jedoch nicht bestätigt werden kann.</w:t>
      </w:r>
      <w:r w:rsidR="003634DC">
        <w:rPr>
          <w:rFonts w:ascii="Arial" w:eastAsia="Times New Roman" w:hAnsi="Arial" w:cs="Arial"/>
          <w:lang w:eastAsia="de-DE"/>
        </w:rPr>
        <w:t xml:space="preserve"> </w:t>
      </w:r>
    </w:p>
    <w:p w:rsidR="003634DC" w:rsidRPr="00B47BE5" w:rsidRDefault="003634DC" w:rsidP="00B47BE5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3634DC" w:rsidRDefault="00B47BE5" w:rsidP="00B47BE5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B47BE5">
        <w:rPr>
          <w:rFonts w:ascii="Arial" w:eastAsia="Times New Roman" w:hAnsi="Arial" w:cs="Arial"/>
          <w:lang w:eastAsia="de-DE"/>
        </w:rPr>
        <w:t>•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="00361397">
        <w:rPr>
          <w:rFonts w:ascii="Arial" w:eastAsia="Times New Roman" w:hAnsi="Arial" w:cs="Arial"/>
          <w:lang w:eastAsia="de-DE"/>
        </w:rPr>
        <w:t>D</w:t>
      </w:r>
      <w:r w:rsidR="00361397" w:rsidRPr="00B47BE5">
        <w:rPr>
          <w:rFonts w:ascii="Arial" w:eastAsia="Times New Roman" w:hAnsi="Arial" w:cs="Arial"/>
          <w:lang w:eastAsia="de-DE"/>
        </w:rPr>
        <w:t>ie</w:t>
      </w:r>
      <w:r w:rsidR="00361397">
        <w:rPr>
          <w:rFonts w:ascii="Arial" w:eastAsia="Times New Roman" w:hAnsi="Arial" w:cs="Arial"/>
          <w:lang w:eastAsia="de-DE"/>
        </w:rPr>
        <w:t xml:space="preserve"> </w:t>
      </w:r>
      <w:r w:rsidR="00361397" w:rsidRPr="00B47BE5">
        <w:rPr>
          <w:rFonts w:ascii="Arial" w:eastAsia="Times New Roman" w:hAnsi="Arial" w:cs="Arial"/>
          <w:lang w:eastAsia="de-DE"/>
        </w:rPr>
        <w:t>Herzinfarkt-</w:t>
      </w:r>
      <w:r w:rsidR="00361397">
        <w:rPr>
          <w:rFonts w:ascii="Arial" w:eastAsia="Times New Roman" w:hAnsi="Arial" w:cs="Arial"/>
          <w:lang w:eastAsia="de-DE"/>
        </w:rPr>
        <w:t xml:space="preserve"> </w:t>
      </w:r>
      <w:r w:rsidR="00361397" w:rsidRPr="00B47BE5">
        <w:rPr>
          <w:rFonts w:ascii="Arial" w:eastAsia="Times New Roman" w:hAnsi="Arial" w:cs="Arial"/>
          <w:lang w:eastAsia="de-DE"/>
        </w:rPr>
        <w:t>und</w:t>
      </w:r>
      <w:r w:rsidR="00361397">
        <w:rPr>
          <w:rFonts w:ascii="Arial" w:eastAsia="Times New Roman" w:hAnsi="Arial" w:cs="Arial"/>
          <w:lang w:eastAsia="de-DE"/>
        </w:rPr>
        <w:t xml:space="preserve"> </w:t>
      </w:r>
      <w:r w:rsidR="00361397" w:rsidRPr="00B47BE5">
        <w:rPr>
          <w:rFonts w:ascii="Arial" w:eastAsia="Times New Roman" w:hAnsi="Arial" w:cs="Arial"/>
          <w:lang w:eastAsia="de-DE"/>
        </w:rPr>
        <w:t xml:space="preserve">Schlaganfallmortalität nach stationärer Aufnahme </w:t>
      </w:r>
      <w:r w:rsidR="00361397">
        <w:rPr>
          <w:rFonts w:ascii="Arial" w:eastAsia="Times New Roman" w:hAnsi="Arial" w:cs="Arial"/>
          <w:lang w:eastAsia="de-DE"/>
        </w:rPr>
        <w:t xml:space="preserve">in Deutschland wird </w:t>
      </w:r>
      <w:r w:rsidR="00361397" w:rsidRPr="00B47BE5">
        <w:rPr>
          <w:rFonts w:ascii="Arial" w:eastAsia="Times New Roman" w:hAnsi="Arial" w:cs="Arial"/>
          <w:lang w:eastAsia="de-DE"/>
        </w:rPr>
        <w:t>im in</w:t>
      </w:r>
      <w:r w:rsidR="00361397">
        <w:rPr>
          <w:rFonts w:ascii="Arial" w:eastAsia="Times New Roman" w:hAnsi="Arial" w:cs="Arial"/>
          <w:lang w:eastAsia="de-DE"/>
        </w:rPr>
        <w:t xml:space="preserve">ternationalen Vergleich </w:t>
      </w:r>
      <w:r w:rsidR="00361397" w:rsidRPr="00B47BE5">
        <w:rPr>
          <w:rFonts w:ascii="Arial" w:eastAsia="Times New Roman" w:hAnsi="Arial" w:cs="Arial"/>
          <w:lang w:eastAsia="de-DE"/>
        </w:rPr>
        <w:t>überschätzt.</w:t>
      </w:r>
      <w:r w:rsidR="00361397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Die OECD weist in ihrer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Datenbank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zwei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verschiedene Indikatoren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zur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30-Tage-Herzinfarkt-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bzw.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Schlaganfallmortalität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nach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stationärer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Aufnahme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aus,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die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zu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unterschiedlichen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Ergebnissen</w:t>
      </w:r>
      <w:r w:rsidR="00361397">
        <w:rPr>
          <w:rFonts w:ascii="Arial" w:eastAsia="Times New Roman" w:hAnsi="Arial" w:cs="Arial"/>
          <w:lang w:eastAsia="de-DE"/>
        </w:rPr>
        <w:t xml:space="preserve"> führen</w:t>
      </w:r>
      <w:r w:rsidRPr="00B47BE5">
        <w:rPr>
          <w:rFonts w:ascii="Arial" w:eastAsia="Times New Roman" w:hAnsi="Arial" w:cs="Arial"/>
          <w:lang w:eastAsia="de-DE"/>
        </w:rPr>
        <w:t>: einen krankenhausspezifischen Indikator, der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ausschließlich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die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Mortalität im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Krankenhaus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misst,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sowie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einen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krankenhausübergreifenden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30-Tage-Mortalitätsindikator,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der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alle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Personen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berücksichtigt, die nach erfolgter stationärer Aufnahme innerhalb von 30 Tagen im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Krankenhaus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oder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außerhalb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des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Krankenhauses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sterben.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Deutschland weist beispielsweise im Vergleich zu Dänemark oder den Niederlanden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eine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deutlich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höhere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mittlere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Verweildauer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bei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Herzinfarkt-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und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Schlaganfallpatientinnen und -patienten auf. Je länger die Verweildauer, desto höher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ist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tendenziell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auch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die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Wahrscheinlichkeit,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dass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Patientinnen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und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Patienten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im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Krankenhaus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sterben.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="00361397">
        <w:rPr>
          <w:rFonts w:ascii="Arial" w:eastAsia="Times New Roman" w:hAnsi="Arial" w:cs="Arial"/>
          <w:lang w:eastAsia="de-DE"/>
        </w:rPr>
        <w:t>F</w:t>
      </w:r>
      <w:r w:rsidRPr="00B47BE5">
        <w:rPr>
          <w:rFonts w:ascii="Arial" w:eastAsia="Times New Roman" w:hAnsi="Arial" w:cs="Arial"/>
          <w:lang w:eastAsia="de-DE"/>
        </w:rPr>
        <w:t>ür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 xml:space="preserve">Deutschland </w:t>
      </w:r>
      <w:r w:rsidRPr="00B47BE5">
        <w:rPr>
          <w:rFonts w:ascii="Arial" w:eastAsia="Times New Roman" w:hAnsi="Arial" w:cs="Arial"/>
          <w:lang w:eastAsia="de-DE"/>
        </w:rPr>
        <w:tab/>
      </w:r>
      <w:r w:rsidR="00361397">
        <w:rPr>
          <w:rFonts w:ascii="Arial" w:eastAsia="Times New Roman" w:hAnsi="Arial" w:cs="Arial"/>
          <w:lang w:eastAsia="de-DE"/>
        </w:rPr>
        <w:t xml:space="preserve">liegt </w:t>
      </w:r>
      <w:r w:rsidRPr="00B47BE5">
        <w:rPr>
          <w:rFonts w:ascii="Arial" w:eastAsia="Times New Roman" w:hAnsi="Arial" w:cs="Arial"/>
          <w:lang w:eastAsia="de-DE"/>
        </w:rPr>
        <w:t>in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den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OECD-Daten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="00361397">
        <w:rPr>
          <w:rFonts w:ascii="Arial" w:eastAsia="Times New Roman" w:hAnsi="Arial" w:cs="Arial"/>
          <w:lang w:eastAsia="de-DE"/>
        </w:rPr>
        <w:t xml:space="preserve">allerdings </w:t>
      </w:r>
      <w:r w:rsidRPr="00B47BE5">
        <w:rPr>
          <w:rFonts w:ascii="Arial" w:eastAsia="Times New Roman" w:hAnsi="Arial" w:cs="Arial"/>
          <w:lang w:eastAsia="de-DE"/>
        </w:rPr>
        <w:t>nur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der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krankenhausspezifische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Indikator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vor</w:t>
      </w:r>
      <w:r w:rsidR="00361397">
        <w:rPr>
          <w:rFonts w:ascii="Arial" w:eastAsia="Times New Roman" w:hAnsi="Arial" w:cs="Arial"/>
          <w:lang w:eastAsia="de-DE"/>
        </w:rPr>
        <w:t>.</w:t>
      </w:r>
      <w:r w:rsidR="003634DC">
        <w:rPr>
          <w:rFonts w:ascii="Arial" w:eastAsia="Times New Roman" w:hAnsi="Arial" w:cs="Arial"/>
          <w:lang w:eastAsia="de-DE"/>
        </w:rPr>
        <w:t xml:space="preserve"> </w:t>
      </w:r>
    </w:p>
    <w:p w:rsidR="00413FFB" w:rsidRPr="00B47BE5" w:rsidRDefault="00413FFB" w:rsidP="00B47BE5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B47BE5" w:rsidRPr="00B47BE5" w:rsidRDefault="00B47BE5" w:rsidP="00B47BE5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B47BE5">
        <w:rPr>
          <w:rFonts w:ascii="Arial" w:eastAsia="Times New Roman" w:hAnsi="Arial" w:cs="Arial"/>
          <w:lang w:eastAsia="de-DE"/>
        </w:rPr>
        <w:t>•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Deutschland schneidet in Bezug auf relevante Risikofaktoren (insbesondere Alter,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Komorbidität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und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sozioökonomischer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Status)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systematisch schlechter als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die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vier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ausgewählten Vergleichsländer ab. Die OECD-Kennzahlen zur 30-Tage-Mortalität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werden aber keiner umfassenden Risikoadjustierung unterzogen.</w:t>
      </w:r>
      <w:r w:rsidR="003634DC">
        <w:rPr>
          <w:rFonts w:ascii="Arial" w:eastAsia="Times New Roman" w:hAnsi="Arial" w:cs="Arial"/>
          <w:lang w:eastAsia="de-DE"/>
        </w:rPr>
        <w:t xml:space="preserve"> </w:t>
      </w:r>
    </w:p>
    <w:p w:rsidR="00B47BE5" w:rsidRPr="00B47BE5" w:rsidRDefault="00B47BE5" w:rsidP="00B47BE5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B47BE5" w:rsidRDefault="00B47BE5" w:rsidP="00B47BE5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B47BE5">
        <w:rPr>
          <w:rFonts w:ascii="Arial" w:eastAsia="Times New Roman" w:hAnsi="Arial" w:cs="Arial"/>
          <w:lang w:eastAsia="de-DE"/>
        </w:rPr>
        <w:t>•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Am Beispiel der Krankenhaushäufigkeit von Diabetes mellitus lassen sich bei der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Morbidität international ähnliche Einflussfaktoren identifizieren wie bei den genannten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Mortalitätsindikatoren. Die hohe Anzahl der Krankenhausaufnahmen bei Diabetes in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Deutschland lässt sich einerseits über die im internationalen Vergleich hohe Prävalenz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von Diabetes in der Bevölkerung erklären. Andererseits ist das Diabetesmanagement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im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vorstationären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Bereich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ausbaufähig,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was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sich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insbesondere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im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Vergleich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mit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Dänemark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zeigt.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Dort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existieren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telehealth-Konzepte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und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Angebote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ambulanter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Diabeteskliniken.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Zudem</w:t>
      </w:r>
      <w:r w:rsidRPr="00B47BE5">
        <w:rPr>
          <w:rFonts w:ascii="Arial" w:eastAsia="Times New Roman" w:hAnsi="Arial" w:cs="Arial"/>
          <w:lang w:eastAsia="de-DE"/>
        </w:rPr>
        <w:tab/>
        <w:t>ist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die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Steuerungsrolle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des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Hausarztes</w:t>
      </w:r>
      <w:r w:rsidRPr="00B47BE5">
        <w:rPr>
          <w:rFonts w:ascii="Arial" w:eastAsia="Times New Roman" w:hAnsi="Arial" w:cs="Arial"/>
          <w:lang w:eastAsia="de-DE"/>
        </w:rPr>
        <w:tab/>
        <w:t>im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Diabetesmanagement sehr ausgeprägt.</w:t>
      </w:r>
      <w:r w:rsidR="003634DC">
        <w:rPr>
          <w:rFonts w:ascii="Arial" w:eastAsia="Times New Roman" w:hAnsi="Arial" w:cs="Arial"/>
          <w:lang w:eastAsia="de-DE"/>
        </w:rPr>
        <w:t xml:space="preserve"> </w:t>
      </w:r>
    </w:p>
    <w:p w:rsidR="003634DC" w:rsidRPr="00B47BE5" w:rsidRDefault="003634DC" w:rsidP="00B47BE5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675FDF" w:rsidRDefault="00675FDF" w:rsidP="00B47BE5">
      <w:pPr>
        <w:spacing w:after="0" w:line="340" w:lineRule="atLeast"/>
        <w:ind w:right="2268"/>
        <w:jc w:val="both"/>
        <w:rPr>
          <w:rFonts w:ascii="Arial" w:eastAsia="Times New Roman" w:hAnsi="Arial" w:cs="Arial"/>
          <w:i/>
          <w:iCs/>
          <w:u w:val="single"/>
          <w:lang w:eastAsia="de-DE"/>
        </w:rPr>
      </w:pPr>
    </w:p>
    <w:p w:rsidR="00675FDF" w:rsidRDefault="00675FDF" w:rsidP="00B47BE5">
      <w:pPr>
        <w:spacing w:after="0" w:line="340" w:lineRule="atLeast"/>
        <w:ind w:right="2268"/>
        <w:jc w:val="both"/>
        <w:rPr>
          <w:rFonts w:ascii="Arial" w:eastAsia="Times New Roman" w:hAnsi="Arial" w:cs="Arial"/>
          <w:i/>
          <w:iCs/>
          <w:u w:val="single"/>
          <w:lang w:eastAsia="de-DE"/>
        </w:rPr>
      </w:pPr>
    </w:p>
    <w:p w:rsidR="00675FDF" w:rsidRDefault="00675FDF" w:rsidP="00B47BE5">
      <w:pPr>
        <w:spacing w:after="0" w:line="340" w:lineRule="atLeast"/>
        <w:ind w:right="2268"/>
        <w:jc w:val="both"/>
        <w:rPr>
          <w:rFonts w:ascii="Arial" w:eastAsia="Times New Roman" w:hAnsi="Arial" w:cs="Arial"/>
          <w:i/>
          <w:iCs/>
          <w:u w:val="single"/>
          <w:lang w:eastAsia="de-DE"/>
        </w:rPr>
      </w:pPr>
    </w:p>
    <w:p w:rsidR="00B47BE5" w:rsidRPr="004E1D78" w:rsidRDefault="00B47BE5" w:rsidP="00B47BE5">
      <w:pPr>
        <w:spacing w:after="0" w:line="340" w:lineRule="atLeast"/>
        <w:ind w:right="2268"/>
        <w:jc w:val="both"/>
        <w:rPr>
          <w:rFonts w:ascii="Arial" w:eastAsia="Times New Roman" w:hAnsi="Arial" w:cs="Arial"/>
          <w:i/>
          <w:iCs/>
          <w:u w:val="single"/>
          <w:lang w:eastAsia="de-DE"/>
        </w:rPr>
      </w:pPr>
      <w:r w:rsidRPr="004E1D78">
        <w:rPr>
          <w:rFonts w:ascii="Arial" w:eastAsia="Times New Roman" w:hAnsi="Arial" w:cs="Arial"/>
          <w:i/>
          <w:iCs/>
          <w:u w:val="single"/>
          <w:lang w:eastAsia="de-DE"/>
        </w:rPr>
        <w:lastRenderedPageBreak/>
        <w:t>Krankenhaus- und Bettendichte, stationäre Fallzahlen und Verweildauern</w:t>
      </w:r>
      <w:r w:rsidR="003634DC" w:rsidRPr="004E1D78">
        <w:rPr>
          <w:rFonts w:ascii="Arial" w:eastAsia="Times New Roman" w:hAnsi="Arial" w:cs="Arial"/>
          <w:i/>
          <w:iCs/>
          <w:u w:val="single"/>
          <w:lang w:eastAsia="de-DE"/>
        </w:rPr>
        <w:t xml:space="preserve"> </w:t>
      </w:r>
    </w:p>
    <w:p w:rsidR="003634DC" w:rsidRPr="00B47BE5" w:rsidRDefault="003634DC" w:rsidP="00B47BE5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B47BE5" w:rsidRDefault="00B47BE5" w:rsidP="00B47BE5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B47BE5">
        <w:rPr>
          <w:rFonts w:ascii="Arial" w:eastAsia="Times New Roman" w:hAnsi="Arial" w:cs="Arial"/>
          <w:lang w:eastAsia="de-DE"/>
        </w:rPr>
        <w:t>•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Im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internationalen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Vergleich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weist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Deutschland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eine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hohe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Krankenhaus-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und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Bettendichte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bzw.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überdurchschnittliche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Fallzahlen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und</w:t>
      </w:r>
      <w:r w:rsidR="003634DC">
        <w:rPr>
          <w:rFonts w:ascii="Arial" w:eastAsia="Times New Roman" w:hAnsi="Arial" w:cs="Arial"/>
          <w:lang w:eastAsia="de-DE"/>
        </w:rPr>
        <w:t xml:space="preserve"> Verweildauern </w:t>
      </w:r>
      <w:r w:rsidRPr="00B47BE5">
        <w:rPr>
          <w:rFonts w:ascii="Arial" w:eastAsia="Times New Roman" w:hAnsi="Arial" w:cs="Arial"/>
          <w:lang w:eastAsia="de-DE"/>
        </w:rPr>
        <w:t>im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Krankenhaus auf. Dies belegt ein hohes Versorgungsniveau in Deutschland, das zudem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einen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spezifischen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Bedarf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bzw.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Besonderheiten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des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deutschen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Gesundheitssystems widerspiegelt.</w:t>
      </w:r>
      <w:r w:rsidR="003634DC">
        <w:rPr>
          <w:rFonts w:ascii="Arial" w:eastAsia="Times New Roman" w:hAnsi="Arial" w:cs="Arial"/>
          <w:lang w:eastAsia="de-DE"/>
        </w:rPr>
        <w:t xml:space="preserve"> </w:t>
      </w:r>
    </w:p>
    <w:p w:rsidR="003634DC" w:rsidRPr="00B47BE5" w:rsidRDefault="003634DC" w:rsidP="00B47BE5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B47BE5" w:rsidRDefault="00B47BE5" w:rsidP="00B47BE5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B47BE5">
        <w:rPr>
          <w:rFonts w:ascii="Arial" w:eastAsia="Times New Roman" w:hAnsi="Arial" w:cs="Arial"/>
          <w:lang w:eastAsia="de-DE"/>
        </w:rPr>
        <w:t>•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Aufgrund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einer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im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internationalen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Vergleich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überdurchschnittlichen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Alters-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und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Morbiditätslast sowie einer größeren sozialen Ungleichheit</w:t>
      </w:r>
      <w:r w:rsidR="00065BCA">
        <w:rPr>
          <w:rFonts w:ascii="Arial" w:eastAsia="Times New Roman" w:hAnsi="Arial" w:cs="Arial"/>
          <w:lang w:eastAsia="de-DE"/>
        </w:rPr>
        <w:t>,</w:t>
      </w:r>
      <w:r w:rsidRPr="00B47BE5">
        <w:rPr>
          <w:rFonts w:ascii="Arial" w:eastAsia="Times New Roman" w:hAnsi="Arial" w:cs="Arial"/>
          <w:lang w:eastAsia="de-DE"/>
        </w:rPr>
        <w:t xml:space="preserve"> besteht in Deutschland ein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höherer Bedarf an akutstationären Versorgungskapazitäten. Besonderheiten der prä-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und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poststationären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Versorgung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hierzulande,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vor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allem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die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mangelnde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sektorenübergreifende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Integration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und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Kooperation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von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Leistungsangeboten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und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unzureichende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Nachsorgeangebote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führen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dazu,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dass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der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Krankenhausbereich Versorgungsdefizite in anderen Leistungssektoren kompensieren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muss. Eine isolierte Betrachtung der stationären Kapazitäten und Fallzahlen erscheint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daher aufgrund der zentralen Rolle der Krankenhäuser in der Versorgungslandschaft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nicht angemessen.</w:t>
      </w:r>
      <w:r w:rsidR="003634DC">
        <w:rPr>
          <w:rFonts w:ascii="Arial" w:eastAsia="Times New Roman" w:hAnsi="Arial" w:cs="Arial"/>
          <w:lang w:eastAsia="de-DE"/>
        </w:rPr>
        <w:t xml:space="preserve"> </w:t>
      </w:r>
    </w:p>
    <w:p w:rsidR="003634DC" w:rsidRPr="00B47BE5" w:rsidRDefault="003634DC" w:rsidP="00B47BE5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B47BE5" w:rsidRDefault="00B47BE5" w:rsidP="00B47BE5">
      <w:pPr>
        <w:spacing w:after="0" w:line="340" w:lineRule="atLeast"/>
        <w:ind w:right="2268"/>
        <w:jc w:val="both"/>
        <w:rPr>
          <w:rFonts w:ascii="Arial" w:eastAsia="Times New Roman" w:hAnsi="Arial" w:cs="Arial"/>
          <w:i/>
          <w:iCs/>
          <w:lang w:eastAsia="de-DE"/>
        </w:rPr>
      </w:pPr>
      <w:r w:rsidRPr="00B47BE5">
        <w:rPr>
          <w:rFonts w:ascii="Arial" w:eastAsia="Times New Roman" w:hAnsi="Arial" w:cs="Arial"/>
          <w:lang w:eastAsia="de-DE"/>
        </w:rPr>
        <w:t>•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Auch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die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im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internationalen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Vergleich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längeren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Krankenhausverweildauern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in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Deutschland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lassen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sich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maßgeblich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durch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den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höheren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Anteil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der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älteren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Bevölkerung</w:t>
      </w:r>
      <w:r w:rsidR="003634DC">
        <w:rPr>
          <w:rFonts w:ascii="Arial" w:eastAsia="Times New Roman" w:hAnsi="Arial" w:cs="Arial"/>
          <w:lang w:eastAsia="de-DE"/>
        </w:rPr>
        <w:t xml:space="preserve"> und der damit einhergehenden </w:t>
      </w:r>
      <w:r w:rsidRPr="00B47BE5">
        <w:rPr>
          <w:rFonts w:ascii="Arial" w:eastAsia="Times New Roman" w:hAnsi="Arial" w:cs="Arial"/>
          <w:lang w:eastAsia="de-DE"/>
        </w:rPr>
        <w:t>größere</w:t>
      </w:r>
      <w:r w:rsidR="003634DC">
        <w:rPr>
          <w:rFonts w:ascii="Arial" w:eastAsia="Times New Roman" w:hAnsi="Arial" w:cs="Arial"/>
          <w:lang w:eastAsia="de-DE"/>
        </w:rPr>
        <w:t>n</w:t>
      </w:r>
      <w:r w:rsidRPr="00B47BE5">
        <w:rPr>
          <w:rFonts w:ascii="Arial" w:eastAsia="Times New Roman" w:hAnsi="Arial" w:cs="Arial"/>
          <w:lang w:eastAsia="de-DE"/>
        </w:rPr>
        <w:t xml:space="preserve"> Krankheitsschwere sowie durch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 xml:space="preserve">bessere Nachsorgeangebote im Ausland erklären. </w:t>
      </w:r>
      <w:r w:rsidR="003634DC">
        <w:rPr>
          <w:rFonts w:ascii="Arial" w:eastAsia="Times New Roman" w:hAnsi="Arial" w:cs="Arial"/>
          <w:lang w:eastAsia="de-DE"/>
        </w:rPr>
        <w:t xml:space="preserve">So werden in </w:t>
      </w:r>
      <w:r w:rsidRPr="00B47BE5">
        <w:rPr>
          <w:rFonts w:ascii="Arial" w:eastAsia="Times New Roman" w:hAnsi="Arial" w:cs="Arial"/>
          <w:lang w:eastAsia="de-DE"/>
        </w:rPr>
        <w:t>Dänemark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Kommunen</w:t>
      </w:r>
      <w:r w:rsidR="003634DC">
        <w:rPr>
          <w:rFonts w:ascii="Arial" w:eastAsia="Times New Roman" w:hAnsi="Arial" w:cs="Arial"/>
          <w:lang w:eastAsia="de-DE"/>
        </w:rPr>
        <w:t xml:space="preserve"> finanziell sanktioniert</w:t>
      </w:r>
      <w:r w:rsidR="0054254A">
        <w:rPr>
          <w:rFonts w:ascii="Arial" w:eastAsia="Times New Roman" w:hAnsi="Arial" w:cs="Arial"/>
          <w:lang w:eastAsia="de-DE"/>
        </w:rPr>
        <w:t>,</w:t>
      </w:r>
      <w:r w:rsidR="003634DC">
        <w:rPr>
          <w:rFonts w:ascii="Arial" w:eastAsia="Times New Roman" w:hAnsi="Arial" w:cs="Arial"/>
          <w:lang w:eastAsia="de-DE"/>
        </w:rPr>
        <w:t xml:space="preserve"> wenn sie </w:t>
      </w:r>
      <w:r w:rsidRPr="00B47BE5">
        <w:rPr>
          <w:rFonts w:ascii="Arial" w:eastAsia="Times New Roman" w:hAnsi="Arial" w:cs="Arial"/>
          <w:lang w:eastAsia="de-DE"/>
        </w:rPr>
        <w:t>u</w:t>
      </w:r>
      <w:r w:rsidR="003634DC">
        <w:rPr>
          <w:rFonts w:ascii="Arial" w:eastAsia="Times New Roman" w:hAnsi="Arial" w:cs="Arial"/>
          <w:lang w:eastAsia="de-DE"/>
        </w:rPr>
        <w:t xml:space="preserve">nzureichende </w:t>
      </w:r>
      <w:r w:rsidRPr="00B47BE5">
        <w:rPr>
          <w:rFonts w:ascii="Arial" w:eastAsia="Times New Roman" w:hAnsi="Arial" w:cs="Arial"/>
          <w:lang w:eastAsia="de-DE"/>
        </w:rPr>
        <w:t>Nachsorgeangebote</w:t>
      </w:r>
      <w:r w:rsidR="003634DC">
        <w:rPr>
          <w:rFonts w:ascii="Arial" w:eastAsia="Times New Roman" w:hAnsi="Arial" w:cs="Arial"/>
          <w:lang w:eastAsia="de-DE"/>
        </w:rPr>
        <w:t xml:space="preserve"> anbieten. </w:t>
      </w:r>
    </w:p>
    <w:p w:rsidR="003634DC" w:rsidRPr="00B47BE5" w:rsidRDefault="003634DC" w:rsidP="00B47BE5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B47BE5" w:rsidRPr="00B47BE5" w:rsidRDefault="00B47BE5" w:rsidP="00B47BE5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B47BE5">
        <w:rPr>
          <w:rFonts w:ascii="Arial" w:eastAsia="Times New Roman" w:hAnsi="Arial" w:cs="Arial"/>
          <w:lang w:eastAsia="de-DE"/>
        </w:rPr>
        <w:t>•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 xml:space="preserve">Es </w:t>
      </w:r>
      <w:r w:rsidR="0054254A">
        <w:rPr>
          <w:rFonts w:ascii="Arial" w:eastAsia="Times New Roman" w:hAnsi="Arial" w:cs="Arial"/>
          <w:lang w:eastAsia="de-DE"/>
        </w:rPr>
        <w:t xml:space="preserve">gibt </w:t>
      </w:r>
      <w:r w:rsidRPr="00B47BE5">
        <w:rPr>
          <w:rFonts w:ascii="Arial" w:eastAsia="Times New Roman" w:hAnsi="Arial" w:cs="Arial"/>
          <w:lang w:eastAsia="de-DE"/>
        </w:rPr>
        <w:t>viele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länderspezifische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Besonderheiten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in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der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Datenverfügbarkeit,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beim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 xml:space="preserve">Datenumfang </w:t>
      </w:r>
      <w:r w:rsidR="0054254A">
        <w:rPr>
          <w:rFonts w:ascii="Arial" w:eastAsia="Times New Roman" w:hAnsi="Arial" w:cs="Arial"/>
          <w:lang w:eastAsia="de-DE"/>
        </w:rPr>
        <w:t>und</w:t>
      </w:r>
      <w:r w:rsidRPr="00B47BE5">
        <w:rPr>
          <w:rFonts w:ascii="Arial" w:eastAsia="Times New Roman" w:hAnsi="Arial" w:cs="Arial"/>
          <w:lang w:eastAsia="de-DE"/>
        </w:rPr>
        <w:t xml:space="preserve"> der Datenauswertung. So werden </w:t>
      </w:r>
      <w:r w:rsidR="003634DC" w:rsidRPr="00B47BE5">
        <w:rPr>
          <w:rFonts w:ascii="Arial" w:eastAsia="Times New Roman" w:hAnsi="Arial" w:cs="Arial"/>
          <w:lang w:eastAsia="de-DE"/>
        </w:rPr>
        <w:t>bei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Krankenhausverweildauern in Dänemark nur Fälle in somatischen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 xml:space="preserve">Krankenhäusern mit einer Verweildauer unter 18 Tagen berücksichtigt. Auch der </w:t>
      </w:r>
      <w:r w:rsidR="003634DC" w:rsidRPr="00B47BE5">
        <w:rPr>
          <w:rFonts w:ascii="Arial" w:eastAsia="Times New Roman" w:hAnsi="Arial" w:cs="Arial"/>
          <w:lang w:eastAsia="de-DE"/>
        </w:rPr>
        <w:t>Datenumfang</w:t>
      </w:r>
      <w:r w:rsidRPr="00B47BE5">
        <w:rPr>
          <w:rFonts w:ascii="Arial" w:eastAsia="Times New Roman" w:hAnsi="Arial" w:cs="Arial"/>
          <w:lang w:eastAsia="de-DE"/>
        </w:rPr>
        <w:t xml:space="preserve"> bei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 xml:space="preserve">der Kennzahl zu Krankenhausbetten ist </w:t>
      </w:r>
      <w:r w:rsidR="003634DC" w:rsidRPr="00B47BE5">
        <w:rPr>
          <w:rFonts w:ascii="Arial" w:eastAsia="Times New Roman" w:hAnsi="Arial" w:cs="Arial"/>
          <w:lang w:eastAsia="de-DE"/>
        </w:rPr>
        <w:t>höchst</w:t>
      </w:r>
      <w:r w:rsidRPr="00B47BE5">
        <w:rPr>
          <w:rFonts w:ascii="Arial" w:eastAsia="Times New Roman" w:hAnsi="Arial" w:cs="Arial"/>
          <w:lang w:eastAsia="de-DE"/>
        </w:rPr>
        <w:t xml:space="preserve"> </w:t>
      </w:r>
      <w:r w:rsidR="003634DC" w:rsidRPr="00B47BE5">
        <w:rPr>
          <w:rFonts w:ascii="Arial" w:eastAsia="Times New Roman" w:hAnsi="Arial" w:cs="Arial"/>
          <w:lang w:eastAsia="de-DE"/>
        </w:rPr>
        <w:t>un</w:t>
      </w:r>
      <w:r w:rsidR="003634DC">
        <w:rPr>
          <w:rFonts w:ascii="Arial" w:eastAsia="Times New Roman" w:hAnsi="Arial" w:cs="Arial"/>
          <w:lang w:eastAsia="de-DE"/>
        </w:rPr>
        <w:t>terschiedlich</w:t>
      </w:r>
      <w:r w:rsidRPr="00B47BE5">
        <w:rPr>
          <w:rFonts w:ascii="Arial" w:eastAsia="Times New Roman" w:hAnsi="Arial" w:cs="Arial"/>
          <w:lang w:eastAsia="de-DE"/>
        </w:rPr>
        <w:t xml:space="preserve">. In </w:t>
      </w:r>
      <w:r w:rsidR="003634DC" w:rsidRPr="00B47BE5">
        <w:rPr>
          <w:rFonts w:ascii="Arial" w:eastAsia="Times New Roman" w:hAnsi="Arial" w:cs="Arial"/>
          <w:lang w:eastAsia="de-DE"/>
        </w:rPr>
        <w:t>einigen Ländern</w:t>
      </w:r>
      <w:r w:rsidRPr="00B47BE5">
        <w:rPr>
          <w:rFonts w:ascii="Arial" w:eastAsia="Times New Roman" w:hAnsi="Arial" w:cs="Arial"/>
          <w:lang w:eastAsia="de-DE"/>
        </w:rPr>
        <w:t xml:space="preserve"> werden psychiatrische Betten</w:t>
      </w:r>
      <w:r w:rsidR="003634DC">
        <w:rPr>
          <w:rFonts w:ascii="Arial" w:eastAsia="Times New Roman" w:hAnsi="Arial" w:cs="Arial"/>
          <w:lang w:eastAsia="de-DE"/>
        </w:rPr>
        <w:t xml:space="preserve"> </w:t>
      </w:r>
      <w:r w:rsidRPr="00B47BE5">
        <w:rPr>
          <w:rFonts w:ascii="Arial" w:eastAsia="Times New Roman" w:hAnsi="Arial" w:cs="Arial"/>
          <w:lang w:eastAsia="de-DE"/>
        </w:rPr>
        <w:t>in der Kennzahl berücksichtigt, in anderen nicht</w:t>
      </w:r>
      <w:r w:rsidR="0054254A">
        <w:rPr>
          <w:rFonts w:ascii="Arial" w:eastAsia="Times New Roman" w:hAnsi="Arial" w:cs="Arial"/>
          <w:lang w:eastAsia="de-DE"/>
        </w:rPr>
        <w:t>.</w:t>
      </w:r>
    </w:p>
    <w:p w:rsidR="00801082" w:rsidRDefault="00801082" w:rsidP="00B47BE5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171E19" w:rsidRDefault="00171E19" w:rsidP="00B47BE5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171E19" w:rsidRDefault="00171E19" w:rsidP="00B47BE5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171E19" w:rsidRDefault="00171E19" w:rsidP="00B47BE5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3634DC" w:rsidRPr="00067A88" w:rsidRDefault="003634DC" w:rsidP="00B47BE5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lastRenderedPageBreak/>
        <w:t xml:space="preserve">Die vollständige Analyse mit einer Zusammenfassung der wichtigsten Ergebnisse finden Sie </w:t>
      </w:r>
      <w:hyperlink r:id="rId9" w:history="1">
        <w:r w:rsidRPr="00552D2C">
          <w:rPr>
            <w:rStyle w:val="Hyperlink"/>
            <w:rFonts w:ascii="Arial" w:eastAsia="Times New Roman" w:hAnsi="Arial" w:cs="Arial"/>
            <w:lang w:eastAsia="de-DE"/>
          </w:rPr>
          <w:t>hier</w:t>
        </w:r>
      </w:hyperlink>
      <w:bookmarkStart w:id="0" w:name="_GoBack"/>
      <w:bookmarkEnd w:id="0"/>
      <w:r>
        <w:rPr>
          <w:rFonts w:ascii="Arial" w:eastAsia="Times New Roman" w:hAnsi="Arial" w:cs="Arial"/>
          <w:lang w:eastAsia="de-DE"/>
        </w:rPr>
        <w:t xml:space="preserve">. </w:t>
      </w:r>
    </w:p>
    <w:p w:rsidR="00801082" w:rsidRPr="00633E3A" w:rsidRDefault="00801082" w:rsidP="00383891">
      <w:pPr>
        <w:spacing w:after="0" w:line="340" w:lineRule="atLeast"/>
        <w:ind w:right="2268"/>
        <w:jc w:val="both"/>
      </w:pPr>
    </w:p>
    <w:p w:rsidR="0021251B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1.914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8556B9">
        <w:rPr>
          <w:rFonts w:ascii="Arial" w:hAnsi="Arial" w:cs="Arial"/>
          <w:color w:val="7F7F7F" w:themeColor="text1" w:themeTint="80"/>
          <w:sz w:val="18"/>
        </w:rPr>
        <w:t>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21251B" w:rsidRPr="0021251B" w:rsidRDefault="0021251B" w:rsidP="0021251B">
      <w:pPr>
        <w:rPr>
          <w:rFonts w:ascii="Arial" w:hAnsi="Arial" w:cs="Arial"/>
          <w:sz w:val="18"/>
        </w:rPr>
      </w:pPr>
    </w:p>
    <w:p w:rsidR="0021251B" w:rsidRPr="0021251B" w:rsidRDefault="0021251B" w:rsidP="0021251B">
      <w:pPr>
        <w:rPr>
          <w:rFonts w:ascii="Arial" w:hAnsi="Arial" w:cs="Arial"/>
          <w:sz w:val="18"/>
        </w:rPr>
      </w:pPr>
    </w:p>
    <w:p w:rsidR="0021251B" w:rsidRPr="0021251B" w:rsidRDefault="0021251B" w:rsidP="0021251B">
      <w:pPr>
        <w:rPr>
          <w:rFonts w:ascii="Arial" w:hAnsi="Arial" w:cs="Arial"/>
          <w:sz w:val="18"/>
        </w:rPr>
      </w:pPr>
    </w:p>
    <w:p w:rsidR="0021251B" w:rsidRPr="0021251B" w:rsidRDefault="0021251B" w:rsidP="0021251B">
      <w:pPr>
        <w:rPr>
          <w:rFonts w:ascii="Arial" w:hAnsi="Arial" w:cs="Arial"/>
          <w:sz w:val="18"/>
        </w:rPr>
      </w:pPr>
    </w:p>
    <w:p w:rsidR="0021251B" w:rsidRPr="0021251B" w:rsidRDefault="0021251B" w:rsidP="0021251B">
      <w:pPr>
        <w:rPr>
          <w:rFonts w:ascii="Arial" w:hAnsi="Arial" w:cs="Arial"/>
          <w:sz w:val="18"/>
        </w:rPr>
      </w:pPr>
    </w:p>
    <w:p w:rsidR="0021251B" w:rsidRPr="0021251B" w:rsidRDefault="0021251B" w:rsidP="0021251B">
      <w:pPr>
        <w:rPr>
          <w:rFonts w:ascii="Arial" w:hAnsi="Arial" w:cs="Arial"/>
          <w:sz w:val="18"/>
        </w:rPr>
      </w:pPr>
    </w:p>
    <w:p w:rsidR="0021251B" w:rsidRPr="0021251B" w:rsidRDefault="0021251B" w:rsidP="0021251B">
      <w:pPr>
        <w:pStyle w:val="berschrift1"/>
        <w:rPr>
          <w:rFonts w:ascii="Arial" w:hAnsi="Arial" w:cs="Arial"/>
          <w:sz w:val="18"/>
        </w:rPr>
      </w:pPr>
    </w:p>
    <w:p w:rsidR="0021251B" w:rsidRDefault="0021251B" w:rsidP="0021251B">
      <w:pPr>
        <w:rPr>
          <w:rFonts w:ascii="Arial" w:hAnsi="Arial" w:cs="Arial"/>
          <w:sz w:val="18"/>
        </w:rPr>
      </w:pPr>
    </w:p>
    <w:p w:rsidR="006D5D72" w:rsidRDefault="0021251B" w:rsidP="0021251B">
      <w:pPr>
        <w:tabs>
          <w:tab w:val="left" w:pos="8800"/>
          <w:tab w:val="left" w:pos="9110"/>
          <w:tab w:val="left" w:pos="915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21251B" w:rsidRPr="0021251B" w:rsidRDefault="0021251B" w:rsidP="00E948B4">
      <w:pPr>
        <w:rPr>
          <w:rFonts w:ascii="Arial" w:hAnsi="Arial" w:cs="Arial"/>
          <w:sz w:val="18"/>
        </w:rPr>
      </w:pPr>
    </w:p>
    <w:sectPr w:rsidR="0021251B" w:rsidRPr="0021251B" w:rsidSect="008E50AB">
      <w:headerReference w:type="default" r:id="rId10"/>
      <w:headerReference w:type="first" r:id="rId11"/>
      <w:footerReference w:type="first" r:id="rId12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0FF" w:rsidRDefault="00D840FF" w:rsidP="008125E6">
      <w:pPr>
        <w:spacing w:after="0"/>
      </w:pPr>
      <w:r>
        <w:separator/>
      </w:r>
    </w:p>
  </w:endnote>
  <w:endnote w:type="continuationSeparator" w:id="0">
    <w:p w:rsidR="00D840FF" w:rsidRDefault="00D840FF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Fax</w:t>
                          </w:r>
                          <w:r w:rsidR="003634DC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Fax</w:t>
                    </w:r>
                    <w:r w:rsidR="003634DC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0FF" w:rsidRDefault="00D840FF" w:rsidP="008125E6">
      <w:pPr>
        <w:spacing w:after="0"/>
      </w:pPr>
      <w:r>
        <w:separator/>
      </w:r>
    </w:p>
  </w:footnote>
  <w:footnote w:type="continuationSeparator" w:id="0">
    <w:p w:rsidR="00D840FF" w:rsidRDefault="00D840FF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B9002C">
      <w:rPr>
        <w:rFonts w:ascii="Arial" w:hAnsi="Arial" w:cs="Arial"/>
        <w:noProof/>
      </w:rPr>
      <w:t>4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53E90"/>
    <w:rsid w:val="00060D57"/>
    <w:rsid w:val="00065BCA"/>
    <w:rsid w:val="00067A88"/>
    <w:rsid w:val="0007527C"/>
    <w:rsid w:val="0008373B"/>
    <w:rsid w:val="00084B39"/>
    <w:rsid w:val="00092CED"/>
    <w:rsid w:val="00096D20"/>
    <w:rsid w:val="000A31C9"/>
    <w:rsid w:val="000C54EE"/>
    <w:rsid w:val="000D4C11"/>
    <w:rsid w:val="000F61BB"/>
    <w:rsid w:val="00111CA4"/>
    <w:rsid w:val="00121889"/>
    <w:rsid w:val="001253E9"/>
    <w:rsid w:val="001333C7"/>
    <w:rsid w:val="00171E19"/>
    <w:rsid w:val="001734CD"/>
    <w:rsid w:val="00183CBD"/>
    <w:rsid w:val="001962FD"/>
    <w:rsid w:val="001C0544"/>
    <w:rsid w:val="001C3900"/>
    <w:rsid w:val="001C561E"/>
    <w:rsid w:val="001C7245"/>
    <w:rsid w:val="001F24B0"/>
    <w:rsid w:val="00205E46"/>
    <w:rsid w:val="0021251B"/>
    <w:rsid w:val="002156A6"/>
    <w:rsid w:val="00223E04"/>
    <w:rsid w:val="00245172"/>
    <w:rsid w:val="002665AA"/>
    <w:rsid w:val="002875EB"/>
    <w:rsid w:val="002A44EC"/>
    <w:rsid w:val="002B4C49"/>
    <w:rsid w:val="002B7D7C"/>
    <w:rsid w:val="002C1659"/>
    <w:rsid w:val="002F1B73"/>
    <w:rsid w:val="00314EF3"/>
    <w:rsid w:val="00315286"/>
    <w:rsid w:val="00323BD9"/>
    <w:rsid w:val="00326374"/>
    <w:rsid w:val="00335088"/>
    <w:rsid w:val="00350E79"/>
    <w:rsid w:val="00354602"/>
    <w:rsid w:val="00361397"/>
    <w:rsid w:val="00362EF7"/>
    <w:rsid w:val="003634DC"/>
    <w:rsid w:val="00363F93"/>
    <w:rsid w:val="00383891"/>
    <w:rsid w:val="003912D2"/>
    <w:rsid w:val="00396599"/>
    <w:rsid w:val="003A65E1"/>
    <w:rsid w:val="003B4AC3"/>
    <w:rsid w:val="003D3A58"/>
    <w:rsid w:val="003E74B7"/>
    <w:rsid w:val="00407552"/>
    <w:rsid w:val="00413F2A"/>
    <w:rsid w:val="00413FFB"/>
    <w:rsid w:val="00440091"/>
    <w:rsid w:val="00452B50"/>
    <w:rsid w:val="00462B9F"/>
    <w:rsid w:val="0046608A"/>
    <w:rsid w:val="00482684"/>
    <w:rsid w:val="004915FE"/>
    <w:rsid w:val="004B392D"/>
    <w:rsid w:val="004B5A0A"/>
    <w:rsid w:val="004E1D78"/>
    <w:rsid w:val="004E40FA"/>
    <w:rsid w:val="004E47E0"/>
    <w:rsid w:val="004F0985"/>
    <w:rsid w:val="004F46DC"/>
    <w:rsid w:val="0050700C"/>
    <w:rsid w:val="0052054C"/>
    <w:rsid w:val="00532B8C"/>
    <w:rsid w:val="0053749D"/>
    <w:rsid w:val="00540AF0"/>
    <w:rsid w:val="00540DD3"/>
    <w:rsid w:val="0054254A"/>
    <w:rsid w:val="00552D2C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1C68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75FDF"/>
    <w:rsid w:val="006861E1"/>
    <w:rsid w:val="0069117B"/>
    <w:rsid w:val="0069255D"/>
    <w:rsid w:val="006937B4"/>
    <w:rsid w:val="006A7679"/>
    <w:rsid w:val="006B4413"/>
    <w:rsid w:val="006C6396"/>
    <w:rsid w:val="006C72CE"/>
    <w:rsid w:val="006D5D72"/>
    <w:rsid w:val="00700218"/>
    <w:rsid w:val="0070619D"/>
    <w:rsid w:val="00717437"/>
    <w:rsid w:val="00722165"/>
    <w:rsid w:val="00734946"/>
    <w:rsid w:val="007755F0"/>
    <w:rsid w:val="0078717D"/>
    <w:rsid w:val="00795922"/>
    <w:rsid w:val="007C44FC"/>
    <w:rsid w:val="00801082"/>
    <w:rsid w:val="008125E6"/>
    <w:rsid w:val="00835799"/>
    <w:rsid w:val="00850E59"/>
    <w:rsid w:val="008556B9"/>
    <w:rsid w:val="00894E03"/>
    <w:rsid w:val="008B2132"/>
    <w:rsid w:val="008B37EB"/>
    <w:rsid w:val="008B7F36"/>
    <w:rsid w:val="008C552E"/>
    <w:rsid w:val="008D015E"/>
    <w:rsid w:val="008E50AB"/>
    <w:rsid w:val="008E5967"/>
    <w:rsid w:val="00905A7D"/>
    <w:rsid w:val="00916C45"/>
    <w:rsid w:val="0095543A"/>
    <w:rsid w:val="00957747"/>
    <w:rsid w:val="00972647"/>
    <w:rsid w:val="00980D81"/>
    <w:rsid w:val="00995C59"/>
    <w:rsid w:val="00997648"/>
    <w:rsid w:val="009A320B"/>
    <w:rsid w:val="009A4F97"/>
    <w:rsid w:val="009B4A2F"/>
    <w:rsid w:val="009C153C"/>
    <w:rsid w:val="009D26E3"/>
    <w:rsid w:val="009D788B"/>
    <w:rsid w:val="009E0FE7"/>
    <w:rsid w:val="00A15341"/>
    <w:rsid w:val="00A41756"/>
    <w:rsid w:val="00AC5BCE"/>
    <w:rsid w:val="00AE24DB"/>
    <w:rsid w:val="00AF6BF9"/>
    <w:rsid w:val="00B06B18"/>
    <w:rsid w:val="00B1353D"/>
    <w:rsid w:val="00B34514"/>
    <w:rsid w:val="00B402F1"/>
    <w:rsid w:val="00B47BE5"/>
    <w:rsid w:val="00B52927"/>
    <w:rsid w:val="00B65874"/>
    <w:rsid w:val="00B7543C"/>
    <w:rsid w:val="00B87286"/>
    <w:rsid w:val="00B9002C"/>
    <w:rsid w:val="00BB0243"/>
    <w:rsid w:val="00BF222D"/>
    <w:rsid w:val="00C16F15"/>
    <w:rsid w:val="00C76EC4"/>
    <w:rsid w:val="00C83AB3"/>
    <w:rsid w:val="00C930CF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0FF"/>
    <w:rsid w:val="00D84AF8"/>
    <w:rsid w:val="00D852B3"/>
    <w:rsid w:val="00DA13E6"/>
    <w:rsid w:val="00DA6CB4"/>
    <w:rsid w:val="00DB5181"/>
    <w:rsid w:val="00DD0FDE"/>
    <w:rsid w:val="00DD49DE"/>
    <w:rsid w:val="00DD648D"/>
    <w:rsid w:val="00E31F3B"/>
    <w:rsid w:val="00E40E2B"/>
    <w:rsid w:val="00E43AB7"/>
    <w:rsid w:val="00E71D54"/>
    <w:rsid w:val="00E865D6"/>
    <w:rsid w:val="00E87038"/>
    <w:rsid w:val="00E948B4"/>
    <w:rsid w:val="00EB1379"/>
    <w:rsid w:val="00EB444B"/>
    <w:rsid w:val="00ED3823"/>
    <w:rsid w:val="00F10B67"/>
    <w:rsid w:val="00F258F9"/>
    <w:rsid w:val="00F26034"/>
    <w:rsid w:val="00F4622D"/>
    <w:rsid w:val="00F47CA5"/>
    <w:rsid w:val="00F702DC"/>
    <w:rsid w:val="00F77C15"/>
    <w:rsid w:val="00F8139F"/>
    <w:rsid w:val="00F8304C"/>
    <w:rsid w:val="00F848A0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1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47BE5"/>
    <w:pPr>
      <w:widowControl w:val="0"/>
      <w:spacing w:after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B47BE5"/>
    <w:pPr>
      <w:widowControl w:val="0"/>
      <w:spacing w:before="159" w:after="0"/>
      <w:ind w:left="511"/>
    </w:pPr>
    <w:rPr>
      <w:rFonts w:ascii="Algerian" w:eastAsia="Algerian" w:hAnsi="Algerian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47BE5"/>
    <w:rPr>
      <w:rFonts w:ascii="Algerian" w:eastAsia="Algerian" w:hAnsi="Algerian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B47BE5"/>
    <w:pPr>
      <w:widowControl w:val="0"/>
      <w:spacing w:after="0"/>
    </w:pPr>
    <w:rPr>
      <w:rFonts w:eastAsiaTheme="minorHAnsi"/>
      <w:sz w:val="22"/>
      <w:szCs w:val="22"/>
      <w:lang w:val="en-US" w:eastAsia="en-US"/>
    </w:rPr>
  </w:style>
  <w:style w:type="table" w:styleId="Tabellenraster">
    <w:name w:val="Table Grid"/>
    <w:basedOn w:val="TableNormal"/>
    <w:uiPriority w:val="59"/>
    <w:rsid w:val="00B47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1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47BE5"/>
    <w:pPr>
      <w:widowControl w:val="0"/>
      <w:spacing w:after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B47BE5"/>
    <w:pPr>
      <w:widowControl w:val="0"/>
      <w:spacing w:before="159" w:after="0"/>
      <w:ind w:left="511"/>
    </w:pPr>
    <w:rPr>
      <w:rFonts w:ascii="Algerian" w:eastAsia="Algerian" w:hAnsi="Algerian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47BE5"/>
    <w:rPr>
      <w:rFonts w:ascii="Algerian" w:eastAsia="Algerian" w:hAnsi="Algerian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B47BE5"/>
    <w:pPr>
      <w:widowControl w:val="0"/>
      <w:spacing w:after="0"/>
    </w:pPr>
    <w:rPr>
      <w:rFonts w:eastAsiaTheme="minorHAnsi"/>
      <w:sz w:val="22"/>
      <w:szCs w:val="22"/>
      <w:lang w:val="en-US" w:eastAsia="en-US"/>
    </w:rPr>
  </w:style>
  <w:style w:type="table" w:styleId="Tabellenraster">
    <w:name w:val="Table Grid"/>
    <w:basedOn w:val="TableNormal"/>
    <w:uiPriority w:val="59"/>
    <w:rsid w:val="00B47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dkgev.de/service/dki-analysen-und-gutachten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CB786F-AB2A-4B10-A7BF-45C91394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Öztürk, Banu</cp:lastModifiedBy>
  <cp:revision>11</cp:revision>
  <cp:lastPrinted>2021-07-05T10:30:00Z</cp:lastPrinted>
  <dcterms:created xsi:type="dcterms:W3CDTF">2021-07-02T09:57:00Z</dcterms:created>
  <dcterms:modified xsi:type="dcterms:W3CDTF">2021-07-05T10:31:00Z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