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045B5A" w:rsidRDefault="0065306F" w:rsidP="00D21736">
      <w:pPr>
        <w:pStyle w:val="Arial8pt"/>
        <w:rPr>
          <w:sz w:val="32"/>
          <w:szCs w:val="32"/>
        </w:rPr>
      </w:pPr>
      <w:r w:rsidRPr="00045B5A">
        <w:rPr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906813" w:rsidRPr="00906813" w:rsidRDefault="00524DE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06813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14577A" w:rsidRPr="00906813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zum </w:t>
      </w:r>
      <w:r w:rsidR="00906813">
        <w:rPr>
          <w:rFonts w:ascii="Arial" w:eastAsia="Times New Roman" w:hAnsi="Arial" w:cs="Times New Roman"/>
          <w:b/>
          <w:szCs w:val="20"/>
          <w:u w:val="single"/>
          <w:lang w:eastAsia="de-DE"/>
        </w:rPr>
        <w:t>Referentenent</w:t>
      </w:r>
      <w:r w:rsidR="00906813" w:rsidRPr="00906813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wurf zur </w:t>
      </w:r>
      <w:r w:rsidR="00906813" w:rsidRPr="00906813">
        <w:rPr>
          <w:rFonts w:ascii="Arial" w:eastAsia="Times New Roman" w:hAnsi="Arial" w:cs="Arial"/>
          <w:b/>
          <w:bCs/>
          <w:u w:val="single"/>
          <w:lang w:eastAsia="de-DE"/>
        </w:rPr>
        <w:t xml:space="preserve">Anpassung der Voraussetzungen für die </w:t>
      </w:r>
    </w:p>
    <w:p w:rsidR="00795922" w:rsidRPr="00906813" w:rsidRDefault="00906813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 w:rsidRPr="00906813">
        <w:rPr>
          <w:rFonts w:ascii="Arial" w:eastAsia="Times New Roman" w:hAnsi="Arial" w:cs="Arial"/>
          <w:b/>
          <w:bCs/>
          <w:u w:val="single"/>
          <w:lang w:eastAsia="de-DE"/>
        </w:rPr>
        <w:t>Anspruchsberechtigung der Krankenhäuser nach § 21 Absatz 1a des Krankenhausfinanzierungsgesetzes (KHG)</w:t>
      </w:r>
    </w:p>
    <w:p w:rsidR="00D115D9" w:rsidRDefault="00D115D9" w:rsidP="00D115D9">
      <w:pPr>
        <w:spacing w:after="0" w:line="340" w:lineRule="atLeast"/>
        <w:ind w:right="2268"/>
        <w:jc w:val="both"/>
        <w:rPr>
          <w:rFonts w:ascii="Arial" w:hAnsi="Arial" w:cs="Arial"/>
          <w:b/>
          <w:spacing w:val="-16"/>
          <w:sz w:val="32"/>
          <w:szCs w:val="32"/>
        </w:rPr>
      </w:pPr>
    </w:p>
    <w:p w:rsidR="00B74CDB" w:rsidRPr="00070CDA" w:rsidRDefault="00B74CDB" w:rsidP="00D115D9">
      <w:pPr>
        <w:spacing w:after="0" w:line="340" w:lineRule="atLeast"/>
        <w:ind w:right="2268"/>
        <w:jc w:val="both"/>
        <w:rPr>
          <w:rFonts w:ascii="Arial" w:hAnsi="Arial" w:cs="Arial"/>
          <w:b/>
          <w:spacing w:val="-16"/>
          <w:sz w:val="32"/>
          <w:szCs w:val="32"/>
        </w:rPr>
      </w:pPr>
      <w:r>
        <w:rPr>
          <w:rFonts w:ascii="Arial" w:hAnsi="Arial" w:cs="Arial"/>
          <w:b/>
          <w:spacing w:val="-16"/>
          <w:sz w:val="32"/>
          <w:szCs w:val="32"/>
        </w:rPr>
        <w:t>Verlängerung der Ausgleichszahlungen kann nur ein Zwischenschritt sein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8C0C54" w:rsidRDefault="00B74CDB" w:rsidP="00906813">
      <w:pPr>
        <w:spacing w:line="360" w:lineRule="auto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lang w:eastAsia="de-DE"/>
        </w:rPr>
        <w:t>Berlin, 16</w:t>
      </w:r>
      <w:r w:rsidR="00D115D9" w:rsidRPr="00642D94">
        <w:rPr>
          <w:rFonts w:ascii="Arial" w:eastAsia="Times New Roman" w:hAnsi="Arial" w:cs="Arial"/>
          <w:lang w:eastAsia="de-DE"/>
        </w:rPr>
        <w:t xml:space="preserve">. </w:t>
      </w:r>
      <w:r w:rsidR="00A3777A" w:rsidRPr="00642D94">
        <w:rPr>
          <w:rFonts w:ascii="Arial" w:eastAsia="Times New Roman" w:hAnsi="Arial" w:cs="Arial"/>
          <w:lang w:eastAsia="de-DE"/>
        </w:rPr>
        <w:t xml:space="preserve">Februar </w:t>
      </w:r>
      <w:r w:rsidR="00D115D9" w:rsidRPr="00642D94">
        <w:rPr>
          <w:rFonts w:ascii="Arial" w:eastAsia="Times New Roman" w:hAnsi="Arial" w:cs="Arial"/>
          <w:lang w:eastAsia="de-DE"/>
        </w:rPr>
        <w:t xml:space="preserve">2021 – </w:t>
      </w:r>
      <w:r w:rsidR="00906813">
        <w:rPr>
          <w:rFonts w:ascii="Arial" w:eastAsia="Times New Roman" w:hAnsi="Arial" w:cs="Arial"/>
          <w:bCs/>
          <w:lang w:eastAsia="de-DE"/>
        </w:rPr>
        <w:t>Der</w:t>
      </w:r>
      <w:r w:rsidR="00906813" w:rsidRPr="00906813">
        <w:rPr>
          <w:rFonts w:ascii="Arial" w:eastAsia="Times New Roman" w:hAnsi="Arial" w:cs="Arial"/>
          <w:bCs/>
          <w:lang w:eastAsia="de-DE"/>
        </w:rPr>
        <w:t xml:space="preserve"> heute vorgelegte Entwurf </w:t>
      </w:r>
      <w:r>
        <w:rPr>
          <w:rFonts w:ascii="Arial" w:eastAsia="Times New Roman" w:hAnsi="Arial" w:cs="Arial"/>
          <w:bCs/>
          <w:lang w:eastAsia="de-DE"/>
        </w:rPr>
        <w:t>gibt</w:t>
      </w:r>
      <w:r w:rsidR="009869AD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de</w:t>
      </w:r>
      <w:r w:rsidR="008C0C54">
        <w:rPr>
          <w:rFonts w:ascii="Arial" w:eastAsia="Times New Roman" w:hAnsi="Arial" w:cs="Arial"/>
          <w:bCs/>
          <w:lang w:eastAsia="de-DE"/>
        </w:rPr>
        <w:t xml:space="preserve">m begrenzten Kreis </w:t>
      </w:r>
      <w:r w:rsidR="004836AF">
        <w:rPr>
          <w:rFonts w:ascii="Arial" w:eastAsia="Times New Roman" w:hAnsi="Arial" w:cs="Arial"/>
          <w:bCs/>
          <w:lang w:eastAsia="de-DE"/>
        </w:rPr>
        <w:t xml:space="preserve">der </w:t>
      </w:r>
      <w:r w:rsidR="008C0C54">
        <w:rPr>
          <w:rFonts w:ascii="Arial" w:eastAsia="Times New Roman" w:hAnsi="Arial" w:cs="Arial"/>
          <w:bCs/>
          <w:lang w:eastAsia="de-DE"/>
        </w:rPr>
        <w:t>anspr</w:t>
      </w:r>
      <w:r>
        <w:rPr>
          <w:rFonts w:ascii="Arial" w:eastAsia="Times New Roman" w:hAnsi="Arial" w:cs="Arial"/>
          <w:bCs/>
          <w:lang w:eastAsia="de-DE"/>
        </w:rPr>
        <w:t>uc</w:t>
      </w:r>
      <w:r w:rsidR="009869AD">
        <w:rPr>
          <w:rFonts w:ascii="Arial" w:eastAsia="Times New Roman" w:hAnsi="Arial" w:cs="Arial"/>
          <w:bCs/>
          <w:lang w:eastAsia="de-DE"/>
        </w:rPr>
        <w:t>h</w:t>
      </w:r>
      <w:r>
        <w:rPr>
          <w:rFonts w:ascii="Arial" w:eastAsia="Times New Roman" w:hAnsi="Arial" w:cs="Arial"/>
          <w:bCs/>
          <w:lang w:eastAsia="de-DE"/>
        </w:rPr>
        <w:t>s</w:t>
      </w:r>
      <w:r w:rsidR="009869AD">
        <w:rPr>
          <w:rFonts w:ascii="Arial" w:eastAsia="Times New Roman" w:hAnsi="Arial" w:cs="Arial"/>
          <w:bCs/>
          <w:lang w:eastAsia="de-DE"/>
        </w:rPr>
        <w:t>b</w:t>
      </w:r>
      <w:r>
        <w:rPr>
          <w:rFonts w:ascii="Arial" w:eastAsia="Times New Roman" w:hAnsi="Arial" w:cs="Arial"/>
          <w:bCs/>
          <w:lang w:eastAsia="de-DE"/>
        </w:rPr>
        <w:t>e</w:t>
      </w:r>
      <w:r w:rsidR="009869AD">
        <w:rPr>
          <w:rFonts w:ascii="Arial" w:eastAsia="Times New Roman" w:hAnsi="Arial" w:cs="Arial"/>
          <w:bCs/>
          <w:lang w:eastAsia="de-DE"/>
        </w:rPr>
        <w:t xml:space="preserve">rechtigten </w:t>
      </w:r>
      <w:r>
        <w:rPr>
          <w:rFonts w:ascii="Arial" w:eastAsia="Times New Roman" w:hAnsi="Arial" w:cs="Arial"/>
          <w:bCs/>
          <w:lang w:eastAsia="de-DE"/>
        </w:rPr>
        <w:t>Kliniken</w:t>
      </w:r>
      <w:r w:rsidR="009869AD">
        <w:rPr>
          <w:rFonts w:ascii="Arial" w:eastAsia="Times New Roman" w:hAnsi="Arial" w:cs="Arial"/>
          <w:bCs/>
          <w:lang w:eastAsia="de-DE"/>
        </w:rPr>
        <w:t xml:space="preserve"> </w:t>
      </w:r>
      <w:r w:rsidR="008C0C54">
        <w:rPr>
          <w:rFonts w:ascii="Arial" w:eastAsia="Times New Roman" w:hAnsi="Arial" w:cs="Arial"/>
          <w:bCs/>
          <w:lang w:eastAsia="de-DE"/>
        </w:rPr>
        <w:t xml:space="preserve">zumindest </w:t>
      </w:r>
      <w:r>
        <w:rPr>
          <w:rFonts w:ascii="Arial" w:eastAsia="Times New Roman" w:hAnsi="Arial" w:cs="Arial"/>
          <w:bCs/>
          <w:lang w:eastAsia="de-DE"/>
        </w:rPr>
        <w:t>eine</w:t>
      </w:r>
      <w:r w:rsidR="009869AD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Perspektive</w:t>
      </w:r>
      <w:r w:rsidR="009869AD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 xml:space="preserve">für Ausgleichszahlungen </w:t>
      </w:r>
      <w:r w:rsidR="009869AD">
        <w:rPr>
          <w:rFonts w:ascii="Arial" w:eastAsia="Times New Roman" w:hAnsi="Arial" w:cs="Arial"/>
          <w:bCs/>
          <w:lang w:eastAsia="de-DE"/>
        </w:rPr>
        <w:t xml:space="preserve">über den </w:t>
      </w:r>
      <w:r w:rsidR="008C0C54">
        <w:rPr>
          <w:rFonts w:ascii="Arial" w:eastAsia="Times New Roman" w:hAnsi="Arial" w:cs="Arial"/>
          <w:bCs/>
          <w:lang w:eastAsia="de-DE"/>
        </w:rPr>
        <w:t>28. Februar</w:t>
      </w:r>
      <w:r w:rsidR="009869AD">
        <w:rPr>
          <w:rFonts w:ascii="Arial" w:eastAsia="Times New Roman" w:hAnsi="Arial" w:cs="Arial"/>
          <w:bCs/>
          <w:lang w:eastAsia="de-DE"/>
        </w:rPr>
        <w:t xml:space="preserve"> </w:t>
      </w:r>
      <w:r w:rsidR="00AD1322">
        <w:rPr>
          <w:rFonts w:ascii="Arial" w:eastAsia="Times New Roman" w:hAnsi="Arial" w:cs="Arial"/>
          <w:bCs/>
          <w:lang w:eastAsia="de-DE"/>
        </w:rPr>
        <w:t xml:space="preserve">hinaus </w:t>
      </w:r>
      <w:r>
        <w:rPr>
          <w:rFonts w:ascii="Arial" w:eastAsia="Times New Roman" w:hAnsi="Arial" w:cs="Arial"/>
          <w:bCs/>
          <w:lang w:eastAsia="de-DE"/>
        </w:rPr>
        <w:t>bis zum 11. April</w:t>
      </w:r>
      <w:r w:rsidR="009869AD">
        <w:rPr>
          <w:rFonts w:ascii="Arial" w:eastAsia="Times New Roman" w:hAnsi="Arial" w:cs="Arial"/>
          <w:bCs/>
          <w:lang w:eastAsia="de-DE"/>
        </w:rPr>
        <w:t>.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4836AF">
        <w:rPr>
          <w:rFonts w:ascii="Arial" w:eastAsia="Times New Roman" w:hAnsi="Arial" w:cs="Arial"/>
          <w:bCs/>
          <w:lang w:eastAsia="de-DE"/>
        </w:rPr>
        <w:t>„</w:t>
      </w:r>
      <w:r>
        <w:rPr>
          <w:rFonts w:ascii="Arial" w:eastAsia="Times New Roman" w:hAnsi="Arial" w:cs="Arial"/>
          <w:bCs/>
          <w:lang w:eastAsia="de-DE"/>
        </w:rPr>
        <w:t>Der Entwurf bietet aber</w:t>
      </w:r>
      <w:r w:rsidR="008C0C54">
        <w:rPr>
          <w:rFonts w:ascii="Arial" w:eastAsia="Times New Roman" w:hAnsi="Arial" w:cs="Arial"/>
          <w:bCs/>
          <w:lang w:eastAsia="de-DE"/>
        </w:rPr>
        <w:t xml:space="preserve"> weiterhin</w:t>
      </w:r>
      <w:r>
        <w:rPr>
          <w:rFonts w:ascii="Arial" w:eastAsia="Times New Roman" w:hAnsi="Arial" w:cs="Arial"/>
          <w:bCs/>
          <w:lang w:eastAsia="de-DE"/>
        </w:rPr>
        <w:t xml:space="preserve"> keine Lösung für </w:t>
      </w:r>
      <w:r w:rsidR="008C0C54">
        <w:rPr>
          <w:rFonts w:ascii="Arial" w:eastAsia="Times New Roman" w:hAnsi="Arial" w:cs="Arial"/>
          <w:bCs/>
          <w:lang w:eastAsia="de-DE"/>
        </w:rPr>
        <w:t>die vielen Kliniken, die von den Anspruchskriterien nicht erfasst sind (Inzidenz über 70</w:t>
      </w:r>
      <w:bookmarkStart w:id="0" w:name="_GoBack"/>
      <w:bookmarkEnd w:id="0"/>
      <w:r w:rsidR="008C0C54">
        <w:rPr>
          <w:rFonts w:ascii="Arial" w:eastAsia="Times New Roman" w:hAnsi="Arial" w:cs="Arial"/>
          <w:bCs/>
          <w:lang w:eastAsia="de-DE"/>
        </w:rPr>
        <w:t xml:space="preserve"> </w:t>
      </w:r>
      <w:r w:rsidR="00F1259E">
        <w:rPr>
          <w:rFonts w:ascii="Arial" w:eastAsia="Times New Roman" w:hAnsi="Arial" w:cs="Arial"/>
          <w:bCs/>
          <w:lang w:eastAsia="de-DE"/>
        </w:rPr>
        <w:t>und</w:t>
      </w:r>
      <w:r w:rsidR="008C0C54">
        <w:rPr>
          <w:rFonts w:ascii="Arial" w:eastAsia="Times New Roman" w:hAnsi="Arial" w:cs="Arial"/>
          <w:bCs/>
          <w:lang w:eastAsia="de-DE"/>
        </w:rPr>
        <w:t xml:space="preserve"> 75</w:t>
      </w:r>
      <w:r w:rsidR="00F1259E">
        <w:rPr>
          <w:rFonts w:ascii="Arial" w:eastAsia="Times New Roman" w:hAnsi="Arial" w:cs="Arial"/>
          <w:bCs/>
          <w:lang w:eastAsia="de-DE"/>
        </w:rPr>
        <w:t>-prozentige</w:t>
      </w:r>
      <w:r w:rsidR="008C0C54">
        <w:rPr>
          <w:rFonts w:ascii="Arial" w:eastAsia="Times New Roman" w:hAnsi="Arial" w:cs="Arial"/>
          <w:bCs/>
          <w:lang w:eastAsia="de-DE"/>
        </w:rPr>
        <w:t xml:space="preserve"> Belegung der Intensivstationen), gleichwohl aber </w:t>
      </w:r>
      <w:r w:rsidR="004836AF">
        <w:rPr>
          <w:rFonts w:ascii="Arial" w:eastAsia="Times New Roman" w:hAnsi="Arial" w:cs="Arial"/>
          <w:bCs/>
          <w:lang w:eastAsia="de-DE"/>
        </w:rPr>
        <w:t xml:space="preserve">massive </w:t>
      </w:r>
      <w:r w:rsidR="008C0C54">
        <w:rPr>
          <w:rFonts w:ascii="Arial" w:eastAsia="Times New Roman" w:hAnsi="Arial" w:cs="Arial"/>
          <w:bCs/>
          <w:lang w:eastAsia="de-DE"/>
        </w:rPr>
        <w:t xml:space="preserve">pandemiebedingte Erlösausfälle und Liquiditätsprobleme haben. Wie 2020 brauchen alle Krankenhäuser auch für 2021 wirtschaftliche Planungssicherheit über </w:t>
      </w:r>
      <w:r w:rsidR="008C0C54" w:rsidRPr="004836AF">
        <w:rPr>
          <w:rFonts w:ascii="Arial" w:eastAsia="Times New Roman" w:hAnsi="Arial" w:cs="Arial"/>
          <w:bCs/>
          <w:lang w:eastAsia="de-DE"/>
        </w:rPr>
        <w:t>einen Ganzjahresmindererlös</w:t>
      </w:r>
      <w:r w:rsidR="00F1259E">
        <w:rPr>
          <w:rFonts w:ascii="Arial" w:eastAsia="Times New Roman" w:hAnsi="Arial" w:cs="Arial"/>
          <w:bCs/>
          <w:lang w:eastAsia="de-DE"/>
        </w:rPr>
        <w:t>-A</w:t>
      </w:r>
      <w:r w:rsidR="008C0C54" w:rsidRPr="004836AF">
        <w:rPr>
          <w:rFonts w:ascii="Arial" w:eastAsia="Times New Roman" w:hAnsi="Arial" w:cs="Arial"/>
          <w:bCs/>
          <w:lang w:eastAsia="de-DE"/>
        </w:rPr>
        <w:t xml:space="preserve">usgleich. Die </w:t>
      </w:r>
      <w:r w:rsidR="00DA42AE">
        <w:rPr>
          <w:rFonts w:ascii="Arial" w:eastAsia="Times New Roman" w:hAnsi="Arial" w:cs="Arial"/>
          <w:bCs/>
          <w:lang w:eastAsia="de-DE"/>
        </w:rPr>
        <w:t>Deutsche Krankenhausgesellschaft (</w:t>
      </w:r>
      <w:r w:rsidR="008C0C54" w:rsidRPr="004836AF">
        <w:rPr>
          <w:rFonts w:ascii="Arial" w:eastAsia="Times New Roman" w:hAnsi="Arial" w:cs="Arial"/>
          <w:bCs/>
          <w:lang w:eastAsia="de-DE"/>
        </w:rPr>
        <w:t>DKG</w:t>
      </w:r>
      <w:r w:rsidR="00DA42AE">
        <w:rPr>
          <w:rFonts w:ascii="Arial" w:eastAsia="Times New Roman" w:hAnsi="Arial" w:cs="Arial"/>
          <w:bCs/>
          <w:lang w:eastAsia="de-DE"/>
        </w:rPr>
        <w:t>)</w:t>
      </w:r>
      <w:r w:rsidR="008C0C54" w:rsidRPr="004836AF">
        <w:rPr>
          <w:rFonts w:ascii="Arial" w:eastAsia="Times New Roman" w:hAnsi="Arial" w:cs="Arial"/>
          <w:bCs/>
          <w:lang w:eastAsia="de-DE"/>
        </w:rPr>
        <w:t xml:space="preserve"> </w:t>
      </w:r>
      <w:r w:rsidR="00F1259E">
        <w:rPr>
          <w:rFonts w:ascii="Arial" w:eastAsia="Times New Roman" w:hAnsi="Arial" w:cs="Arial"/>
          <w:bCs/>
          <w:lang w:eastAsia="de-DE"/>
        </w:rPr>
        <w:t>erwartet</w:t>
      </w:r>
      <w:r w:rsidR="008C0C54" w:rsidRPr="004836AF">
        <w:rPr>
          <w:rFonts w:ascii="Arial" w:eastAsia="Times New Roman" w:hAnsi="Arial" w:cs="Arial"/>
          <w:bCs/>
          <w:lang w:eastAsia="de-DE"/>
        </w:rPr>
        <w:t>, dass die Weichen dafü</w:t>
      </w:r>
      <w:r w:rsidR="004836AF" w:rsidRPr="004836AF">
        <w:rPr>
          <w:rFonts w:ascii="Arial" w:eastAsia="Times New Roman" w:hAnsi="Arial" w:cs="Arial"/>
          <w:bCs/>
          <w:lang w:eastAsia="de-DE"/>
        </w:rPr>
        <w:t>r in der für den 24</w:t>
      </w:r>
      <w:r w:rsidR="008C0C54" w:rsidRPr="004836AF">
        <w:rPr>
          <w:rFonts w:ascii="Arial" w:eastAsia="Times New Roman" w:hAnsi="Arial" w:cs="Arial"/>
          <w:bCs/>
          <w:lang w:eastAsia="de-DE"/>
        </w:rPr>
        <w:t xml:space="preserve">. Februar vorgesehenen Sitzung des </w:t>
      </w:r>
      <w:r w:rsidR="004836AF" w:rsidRPr="004836AF">
        <w:rPr>
          <w:rFonts w:ascii="Arial" w:eastAsia="Times New Roman" w:hAnsi="Arial" w:cs="Arial"/>
          <w:bCs/>
          <w:lang w:eastAsia="de-DE"/>
        </w:rPr>
        <w:t>E</w:t>
      </w:r>
      <w:r w:rsidR="004836AF" w:rsidRPr="004836AF">
        <w:rPr>
          <w:rFonts w:ascii="Helvetica" w:hAnsi="Helvetica"/>
          <w:color w:val="000000"/>
          <w:shd w:val="clear" w:color="auto" w:fill="FFFFFF"/>
        </w:rPr>
        <w:t>xpertenbeirat</w:t>
      </w:r>
      <w:r w:rsidR="00F1259E">
        <w:rPr>
          <w:rFonts w:ascii="Helvetica" w:hAnsi="Helvetica"/>
          <w:color w:val="000000"/>
          <w:shd w:val="clear" w:color="auto" w:fill="FFFFFF"/>
        </w:rPr>
        <w:t>s</w:t>
      </w:r>
      <w:r w:rsidR="004836AF" w:rsidRPr="004836AF">
        <w:rPr>
          <w:rFonts w:ascii="Helvetica" w:hAnsi="Helvetica"/>
          <w:color w:val="000000"/>
          <w:shd w:val="clear" w:color="auto" w:fill="FFFFFF"/>
        </w:rPr>
        <w:t xml:space="preserve"> zu den Auswirkungen des COVID-19-Krankenhausentlastungsgesetzes</w:t>
      </w:r>
      <w:r w:rsidR="004836AF">
        <w:rPr>
          <w:rFonts w:ascii="Arial" w:eastAsia="Times New Roman" w:hAnsi="Arial" w:cs="Arial"/>
          <w:bCs/>
          <w:lang w:eastAsia="de-DE"/>
        </w:rPr>
        <w:t xml:space="preserve"> </w:t>
      </w:r>
      <w:r w:rsidR="008C0C54">
        <w:rPr>
          <w:rFonts w:ascii="Arial" w:eastAsia="Times New Roman" w:hAnsi="Arial" w:cs="Arial"/>
          <w:bCs/>
          <w:lang w:eastAsia="de-DE"/>
        </w:rPr>
        <w:t>gestellt werden</w:t>
      </w:r>
      <w:r w:rsidR="004836AF">
        <w:rPr>
          <w:rFonts w:ascii="Arial" w:eastAsia="Times New Roman" w:hAnsi="Arial" w:cs="Arial"/>
          <w:bCs/>
          <w:lang w:eastAsia="de-DE"/>
        </w:rPr>
        <w:t xml:space="preserve">“, erklärte Georg Baum, Hauptgeschäftsführer der </w:t>
      </w:r>
      <w:r w:rsidR="00DA42AE">
        <w:rPr>
          <w:rFonts w:ascii="Arial" w:eastAsia="Times New Roman" w:hAnsi="Arial" w:cs="Arial"/>
          <w:bCs/>
          <w:lang w:eastAsia="de-DE"/>
        </w:rPr>
        <w:t>DKG.</w:t>
      </w:r>
    </w:p>
    <w:p w:rsidR="008C0C54" w:rsidRDefault="008C0C54" w:rsidP="00906813">
      <w:pPr>
        <w:spacing w:line="360" w:lineRule="auto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8C0C54" w:rsidRDefault="008C0C54" w:rsidP="00906813">
      <w:pPr>
        <w:spacing w:line="360" w:lineRule="auto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82752E" w:rsidRPr="004E4D7E" w:rsidRDefault="0058674F" w:rsidP="00224523">
      <w:pPr>
        <w:spacing w:after="0" w:line="360" w:lineRule="auto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>
        <w:rPr>
          <w:rFonts w:ascii="Arial" w:hAnsi="Arial" w:cs="Arial"/>
          <w:color w:val="7F7F7F" w:themeColor="text1" w:themeTint="80"/>
          <w:sz w:val="18"/>
        </w:rPr>
        <w:t>tragene Aufgaben wahr. Die 1.925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  <w:r w:rsidR="0021251B">
        <w:rPr>
          <w:rFonts w:ascii="Arial" w:hAnsi="Arial" w:cs="Arial"/>
          <w:sz w:val="18"/>
        </w:rPr>
        <w:tab/>
      </w:r>
      <w:r w:rsidR="0021251B">
        <w:rPr>
          <w:rFonts w:ascii="Arial" w:hAnsi="Arial" w:cs="Arial"/>
          <w:sz w:val="18"/>
        </w:rPr>
        <w:tab/>
      </w:r>
      <w:r w:rsidR="0021251B">
        <w:rPr>
          <w:rFonts w:ascii="Arial" w:hAnsi="Arial" w:cs="Arial"/>
          <w:sz w:val="18"/>
        </w:rPr>
        <w:tab/>
      </w:r>
    </w:p>
    <w:sectPr w:rsidR="0082752E" w:rsidRPr="004E4D7E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B6" w:rsidRDefault="00353EB6" w:rsidP="008125E6">
      <w:pPr>
        <w:spacing w:after="0"/>
      </w:pPr>
      <w:r>
        <w:separator/>
      </w:r>
    </w:p>
  </w:endnote>
  <w:endnote w:type="continuationSeparator" w:id="0">
    <w:p w:rsidR="00353EB6" w:rsidRDefault="00353EB6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charset w:val="4D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B6" w:rsidRDefault="00353EB6" w:rsidP="008125E6">
      <w:pPr>
        <w:spacing w:after="0"/>
      </w:pPr>
      <w:r>
        <w:separator/>
      </w:r>
    </w:p>
  </w:footnote>
  <w:footnote w:type="continuationSeparator" w:id="0">
    <w:p w:rsidR="00353EB6" w:rsidRDefault="00353EB6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414143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  <w:p w:rsidR="007C2B6B" w:rsidRDefault="007C2B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7FE5"/>
    <w:multiLevelType w:val="hybridMultilevel"/>
    <w:tmpl w:val="7E761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79FB"/>
    <w:rsid w:val="00020DA3"/>
    <w:rsid w:val="000210FE"/>
    <w:rsid w:val="00024819"/>
    <w:rsid w:val="0002633F"/>
    <w:rsid w:val="00026B38"/>
    <w:rsid w:val="00031885"/>
    <w:rsid w:val="00045B5A"/>
    <w:rsid w:val="00060D57"/>
    <w:rsid w:val="00070C2C"/>
    <w:rsid w:val="00070CDA"/>
    <w:rsid w:val="0007527C"/>
    <w:rsid w:val="0007643B"/>
    <w:rsid w:val="0008373B"/>
    <w:rsid w:val="00084B39"/>
    <w:rsid w:val="00092CED"/>
    <w:rsid w:val="000939EA"/>
    <w:rsid w:val="00096D20"/>
    <w:rsid w:val="000A31C9"/>
    <w:rsid w:val="000B0A4C"/>
    <w:rsid w:val="000B63AD"/>
    <w:rsid w:val="000C54EE"/>
    <w:rsid w:val="000D0A5A"/>
    <w:rsid w:val="000D4550"/>
    <w:rsid w:val="000D4C11"/>
    <w:rsid w:val="000E4A70"/>
    <w:rsid w:val="000F4F6F"/>
    <w:rsid w:val="000F61BB"/>
    <w:rsid w:val="00111CA4"/>
    <w:rsid w:val="00121889"/>
    <w:rsid w:val="001253E9"/>
    <w:rsid w:val="00132D63"/>
    <w:rsid w:val="001333C7"/>
    <w:rsid w:val="0014577A"/>
    <w:rsid w:val="001539F2"/>
    <w:rsid w:val="00157DDE"/>
    <w:rsid w:val="001660D5"/>
    <w:rsid w:val="001734CD"/>
    <w:rsid w:val="001838A4"/>
    <w:rsid w:val="00183CBD"/>
    <w:rsid w:val="001856E9"/>
    <w:rsid w:val="001962FD"/>
    <w:rsid w:val="001C0544"/>
    <w:rsid w:val="001C0948"/>
    <w:rsid w:val="001C3900"/>
    <w:rsid w:val="001C3B87"/>
    <w:rsid w:val="001C561E"/>
    <w:rsid w:val="001C7245"/>
    <w:rsid w:val="001F4DA3"/>
    <w:rsid w:val="00205E46"/>
    <w:rsid w:val="0021251B"/>
    <w:rsid w:val="002156A6"/>
    <w:rsid w:val="00221E34"/>
    <w:rsid w:val="00224523"/>
    <w:rsid w:val="00245172"/>
    <w:rsid w:val="00246FE0"/>
    <w:rsid w:val="0026605B"/>
    <w:rsid w:val="002665AA"/>
    <w:rsid w:val="002875EB"/>
    <w:rsid w:val="002A44EC"/>
    <w:rsid w:val="002A7702"/>
    <w:rsid w:val="002B401B"/>
    <w:rsid w:val="002B4C49"/>
    <w:rsid w:val="002B7D7C"/>
    <w:rsid w:val="002C1659"/>
    <w:rsid w:val="002E578B"/>
    <w:rsid w:val="002E70A8"/>
    <w:rsid w:val="002F1B73"/>
    <w:rsid w:val="00314EF3"/>
    <w:rsid w:val="00323BD9"/>
    <w:rsid w:val="00326374"/>
    <w:rsid w:val="00335088"/>
    <w:rsid w:val="00350E79"/>
    <w:rsid w:val="00352E37"/>
    <w:rsid w:val="00353EB6"/>
    <w:rsid w:val="00354602"/>
    <w:rsid w:val="00362EF7"/>
    <w:rsid w:val="00363F93"/>
    <w:rsid w:val="0038238A"/>
    <w:rsid w:val="00383891"/>
    <w:rsid w:val="00396599"/>
    <w:rsid w:val="003A5C71"/>
    <w:rsid w:val="003B4AC3"/>
    <w:rsid w:val="003D21BC"/>
    <w:rsid w:val="003D3A58"/>
    <w:rsid w:val="00407552"/>
    <w:rsid w:val="00413F2A"/>
    <w:rsid w:val="00414143"/>
    <w:rsid w:val="00440091"/>
    <w:rsid w:val="00450FA0"/>
    <w:rsid w:val="00452B50"/>
    <w:rsid w:val="00462B9F"/>
    <w:rsid w:val="0046608A"/>
    <w:rsid w:val="00467EE3"/>
    <w:rsid w:val="004812E0"/>
    <w:rsid w:val="00481378"/>
    <w:rsid w:val="00482684"/>
    <w:rsid w:val="004836AF"/>
    <w:rsid w:val="004908DC"/>
    <w:rsid w:val="004915FE"/>
    <w:rsid w:val="004B2C14"/>
    <w:rsid w:val="004B392D"/>
    <w:rsid w:val="004B3E2F"/>
    <w:rsid w:val="004B5A0A"/>
    <w:rsid w:val="004E40FA"/>
    <w:rsid w:val="004E47E0"/>
    <w:rsid w:val="004E4D7E"/>
    <w:rsid w:val="004F01DC"/>
    <w:rsid w:val="004F0985"/>
    <w:rsid w:val="004F46DC"/>
    <w:rsid w:val="00514092"/>
    <w:rsid w:val="0052054C"/>
    <w:rsid w:val="00524DEF"/>
    <w:rsid w:val="00526E80"/>
    <w:rsid w:val="00532B8C"/>
    <w:rsid w:val="0053304E"/>
    <w:rsid w:val="00536695"/>
    <w:rsid w:val="0053749D"/>
    <w:rsid w:val="00540AF0"/>
    <w:rsid w:val="00540DD3"/>
    <w:rsid w:val="00540E40"/>
    <w:rsid w:val="00550AA7"/>
    <w:rsid w:val="0056210E"/>
    <w:rsid w:val="00570C6B"/>
    <w:rsid w:val="00580DE5"/>
    <w:rsid w:val="00583D6A"/>
    <w:rsid w:val="0058674F"/>
    <w:rsid w:val="00586EFC"/>
    <w:rsid w:val="00597BEB"/>
    <w:rsid w:val="005A6566"/>
    <w:rsid w:val="005B067E"/>
    <w:rsid w:val="005C2BD9"/>
    <w:rsid w:val="005D1C55"/>
    <w:rsid w:val="005F6092"/>
    <w:rsid w:val="005F6514"/>
    <w:rsid w:val="00607330"/>
    <w:rsid w:val="00612E3D"/>
    <w:rsid w:val="00615191"/>
    <w:rsid w:val="006314B2"/>
    <w:rsid w:val="00633E3A"/>
    <w:rsid w:val="006365EF"/>
    <w:rsid w:val="00640718"/>
    <w:rsid w:val="006429EE"/>
    <w:rsid w:val="00642D94"/>
    <w:rsid w:val="00651CD9"/>
    <w:rsid w:val="0065306F"/>
    <w:rsid w:val="00653DC6"/>
    <w:rsid w:val="00660B2F"/>
    <w:rsid w:val="006861E1"/>
    <w:rsid w:val="00686E23"/>
    <w:rsid w:val="0069255D"/>
    <w:rsid w:val="006937B4"/>
    <w:rsid w:val="006A7679"/>
    <w:rsid w:val="006B4413"/>
    <w:rsid w:val="006C6396"/>
    <w:rsid w:val="006C72CE"/>
    <w:rsid w:val="006D5D72"/>
    <w:rsid w:val="006E2EDA"/>
    <w:rsid w:val="006E71EC"/>
    <w:rsid w:val="006F39B9"/>
    <w:rsid w:val="00700218"/>
    <w:rsid w:val="0070619D"/>
    <w:rsid w:val="00716C0C"/>
    <w:rsid w:val="00717437"/>
    <w:rsid w:val="007218D0"/>
    <w:rsid w:val="007244E9"/>
    <w:rsid w:val="00734946"/>
    <w:rsid w:val="007454AD"/>
    <w:rsid w:val="00757746"/>
    <w:rsid w:val="007755F0"/>
    <w:rsid w:val="00777EF4"/>
    <w:rsid w:val="007805CE"/>
    <w:rsid w:val="0078717D"/>
    <w:rsid w:val="00793820"/>
    <w:rsid w:val="00795922"/>
    <w:rsid w:val="007973BA"/>
    <w:rsid w:val="007A3105"/>
    <w:rsid w:val="007A4991"/>
    <w:rsid w:val="007B3F17"/>
    <w:rsid w:val="007C1F9D"/>
    <w:rsid w:val="007C2B6B"/>
    <w:rsid w:val="007C44FC"/>
    <w:rsid w:val="007C786C"/>
    <w:rsid w:val="007D6E89"/>
    <w:rsid w:val="008125E6"/>
    <w:rsid w:val="008250BC"/>
    <w:rsid w:val="0082752E"/>
    <w:rsid w:val="008307C7"/>
    <w:rsid w:val="00834C0E"/>
    <w:rsid w:val="00835799"/>
    <w:rsid w:val="00850E59"/>
    <w:rsid w:val="00862D9F"/>
    <w:rsid w:val="0086364A"/>
    <w:rsid w:val="008809E3"/>
    <w:rsid w:val="008855DF"/>
    <w:rsid w:val="00894E03"/>
    <w:rsid w:val="008B2132"/>
    <w:rsid w:val="008B37EB"/>
    <w:rsid w:val="008B7F36"/>
    <w:rsid w:val="008C0C54"/>
    <w:rsid w:val="008C552E"/>
    <w:rsid w:val="008D015E"/>
    <w:rsid w:val="008E50AB"/>
    <w:rsid w:val="008E5967"/>
    <w:rsid w:val="008E7AC3"/>
    <w:rsid w:val="00901E84"/>
    <w:rsid w:val="00906813"/>
    <w:rsid w:val="009204F1"/>
    <w:rsid w:val="0092732B"/>
    <w:rsid w:val="00933D36"/>
    <w:rsid w:val="0095543A"/>
    <w:rsid w:val="00957747"/>
    <w:rsid w:val="00972647"/>
    <w:rsid w:val="009727F0"/>
    <w:rsid w:val="00980D81"/>
    <w:rsid w:val="009869AD"/>
    <w:rsid w:val="00995C59"/>
    <w:rsid w:val="00996056"/>
    <w:rsid w:val="00997648"/>
    <w:rsid w:val="009A320B"/>
    <w:rsid w:val="009A4F97"/>
    <w:rsid w:val="009B5EDA"/>
    <w:rsid w:val="009C153C"/>
    <w:rsid w:val="009D26E3"/>
    <w:rsid w:val="009D788B"/>
    <w:rsid w:val="009E0FE7"/>
    <w:rsid w:val="00A15341"/>
    <w:rsid w:val="00A279EA"/>
    <w:rsid w:val="00A3777A"/>
    <w:rsid w:val="00A41756"/>
    <w:rsid w:val="00A56024"/>
    <w:rsid w:val="00A779EE"/>
    <w:rsid w:val="00A95C3D"/>
    <w:rsid w:val="00A96E21"/>
    <w:rsid w:val="00AA519A"/>
    <w:rsid w:val="00AC5BCE"/>
    <w:rsid w:val="00AD1322"/>
    <w:rsid w:val="00AE24DB"/>
    <w:rsid w:val="00AE5671"/>
    <w:rsid w:val="00AF53D9"/>
    <w:rsid w:val="00B06B18"/>
    <w:rsid w:val="00B1353D"/>
    <w:rsid w:val="00B25940"/>
    <w:rsid w:val="00B2648C"/>
    <w:rsid w:val="00B27D98"/>
    <w:rsid w:val="00B321B1"/>
    <w:rsid w:val="00B34514"/>
    <w:rsid w:val="00B402F1"/>
    <w:rsid w:val="00B52927"/>
    <w:rsid w:val="00B541C4"/>
    <w:rsid w:val="00B64228"/>
    <w:rsid w:val="00B65874"/>
    <w:rsid w:val="00B74CDB"/>
    <w:rsid w:val="00B7543C"/>
    <w:rsid w:val="00B84DDB"/>
    <w:rsid w:val="00B87286"/>
    <w:rsid w:val="00BB0243"/>
    <w:rsid w:val="00BB69C2"/>
    <w:rsid w:val="00BC2980"/>
    <w:rsid w:val="00BD4BF3"/>
    <w:rsid w:val="00BF1123"/>
    <w:rsid w:val="00BF222D"/>
    <w:rsid w:val="00C01477"/>
    <w:rsid w:val="00C02F12"/>
    <w:rsid w:val="00C156AE"/>
    <w:rsid w:val="00C16F15"/>
    <w:rsid w:val="00C30309"/>
    <w:rsid w:val="00C731F7"/>
    <w:rsid w:val="00C765F0"/>
    <w:rsid w:val="00C87B2F"/>
    <w:rsid w:val="00C930CF"/>
    <w:rsid w:val="00C9558C"/>
    <w:rsid w:val="00C96C96"/>
    <w:rsid w:val="00CB2EA2"/>
    <w:rsid w:val="00CB748C"/>
    <w:rsid w:val="00CC05DB"/>
    <w:rsid w:val="00CC21C5"/>
    <w:rsid w:val="00CD6E55"/>
    <w:rsid w:val="00CE0B67"/>
    <w:rsid w:val="00CE1A56"/>
    <w:rsid w:val="00CE636C"/>
    <w:rsid w:val="00CE7AC3"/>
    <w:rsid w:val="00CF6905"/>
    <w:rsid w:val="00D0056E"/>
    <w:rsid w:val="00D0219C"/>
    <w:rsid w:val="00D02C2A"/>
    <w:rsid w:val="00D03F94"/>
    <w:rsid w:val="00D041E5"/>
    <w:rsid w:val="00D115D9"/>
    <w:rsid w:val="00D21736"/>
    <w:rsid w:val="00D23C98"/>
    <w:rsid w:val="00D26392"/>
    <w:rsid w:val="00D30167"/>
    <w:rsid w:val="00D32BBB"/>
    <w:rsid w:val="00D359AB"/>
    <w:rsid w:val="00D401F2"/>
    <w:rsid w:val="00D45457"/>
    <w:rsid w:val="00D52883"/>
    <w:rsid w:val="00D620DE"/>
    <w:rsid w:val="00D6251F"/>
    <w:rsid w:val="00D63505"/>
    <w:rsid w:val="00D63649"/>
    <w:rsid w:val="00D63A75"/>
    <w:rsid w:val="00D7050A"/>
    <w:rsid w:val="00D7527B"/>
    <w:rsid w:val="00D80859"/>
    <w:rsid w:val="00D84AF8"/>
    <w:rsid w:val="00D852B3"/>
    <w:rsid w:val="00DA13E6"/>
    <w:rsid w:val="00DA42AE"/>
    <w:rsid w:val="00DA6CB4"/>
    <w:rsid w:val="00DB15A1"/>
    <w:rsid w:val="00DB5181"/>
    <w:rsid w:val="00DB6479"/>
    <w:rsid w:val="00DD0FDE"/>
    <w:rsid w:val="00DD49DE"/>
    <w:rsid w:val="00DD648D"/>
    <w:rsid w:val="00DF1C80"/>
    <w:rsid w:val="00DF2BEB"/>
    <w:rsid w:val="00DF5E9C"/>
    <w:rsid w:val="00E055A0"/>
    <w:rsid w:val="00E220EF"/>
    <w:rsid w:val="00E31F3B"/>
    <w:rsid w:val="00E352BE"/>
    <w:rsid w:val="00E40E2B"/>
    <w:rsid w:val="00E43AB7"/>
    <w:rsid w:val="00E61B2A"/>
    <w:rsid w:val="00E71D54"/>
    <w:rsid w:val="00E8286F"/>
    <w:rsid w:val="00E865D6"/>
    <w:rsid w:val="00E87038"/>
    <w:rsid w:val="00EA17B7"/>
    <w:rsid w:val="00EA763B"/>
    <w:rsid w:val="00EB1379"/>
    <w:rsid w:val="00EB444B"/>
    <w:rsid w:val="00ED3823"/>
    <w:rsid w:val="00EE5041"/>
    <w:rsid w:val="00F10B67"/>
    <w:rsid w:val="00F1259E"/>
    <w:rsid w:val="00F21ECD"/>
    <w:rsid w:val="00F258F9"/>
    <w:rsid w:val="00F26034"/>
    <w:rsid w:val="00F43182"/>
    <w:rsid w:val="00F44497"/>
    <w:rsid w:val="00F4622D"/>
    <w:rsid w:val="00F47CA5"/>
    <w:rsid w:val="00F47DAB"/>
    <w:rsid w:val="00F55967"/>
    <w:rsid w:val="00F7261B"/>
    <w:rsid w:val="00F73939"/>
    <w:rsid w:val="00F77C15"/>
    <w:rsid w:val="00F8139F"/>
    <w:rsid w:val="00F8304C"/>
    <w:rsid w:val="00FA20E1"/>
    <w:rsid w:val="00FA346C"/>
    <w:rsid w:val="00FB1CDF"/>
    <w:rsid w:val="00FB25D6"/>
    <w:rsid w:val="00FD5B45"/>
    <w:rsid w:val="00FF4791"/>
    <w:rsid w:val="00FF4A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A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4A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A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A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A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4A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A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62F8FE-A71C-4AC4-85A0-029A89B7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1521</Characters>
  <Application>Microsoft Office Word</Application>
  <DocSecurity>0</DocSecurity>
  <Lines>33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3</cp:revision>
  <cp:lastPrinted>2021-02-16T15:27:00Z</cp:lastPrinted>
  <dcterms:created xsi:type="dcterms:W3CDTF">2021-02-16T16:04:00Z</dcterms:created>
  <dcterms:modified xsi:type="dcterms:W3CDTF">2021-02-16T16:09:00Z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