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2FB0429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A915B8">
        <w:rPr>
          <w:rFonts w:ascii="Arial" w:eastAsia="Times New Roman" w:hAnsi="Arial" w:cs="Times New Roman"/>
          <w:b/>
          <w:szCs w:val="20"/>
          <w:u w:val="single"/>
          <w:lang w:eastAsia="de-DE"/>
        </w:rPr>
        <w:t>m Entwurf einer Reform der ambulanten Notfallversorgung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6CB27DDD" w:rsidR="001962FD" w:rsidRPr="001962FD" w:rsidRDefault="005F27B5" w:rsidP="007E00C8">
      <w:pPr>
        <w:spacing w:after="0" w:line="340" w:lineRule="atLeast"/>
        <w:ind w:right="2268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Krankenhäuser</w:t>
      </w:r>
      <w:r w:rsidR="0059069E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können Notfallversorgung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DC27650" w14:textId="1FAB66B5" w:rsidR="008838C6" w:rsidRPr="008838C6" w:rsidRDefault="00D30167" w:rsidP="008838C6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302511">
        <w:rPr>
          <w:rFonts w:ascii="Arial" w:eastAsia="Times New Roman" w:hAnsi="Arial" w:cs="Arial"/>
          <w:noProof/>
          <w:lang w:eastAsia="de-DE"/>
        </w:rPr>
        <w:t>26. Juli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3343D">
        <w:rPr>
          <w:rFonts w:ascii="Arial" w:hAnsi="Arial" w:cs="Arial"/>
          <w:color w:val="202124"/>
        </w:rPr>
        <w:t>Der Vorstand der Deutschen Krankenhausgesellsch</w:t>
      </w:r>
      <w:r w:rsidR="00A05627">
        <w:rPr>
          <w:rFonts w:ascii="Arial" w:hAnsi="Arial" w:cs="Arial"/>
          <w:color w:val="202124"/>
        </w:rPr>
        <w:t>aft</w:t>
      </w:r>
      <w:r w:rsidR="00785755">
        <w:rPr>
          <w:rFonts w:ascii="Arial" w:hAnsi="Arial" w:cs="Arial"/>
          <w:color w:val="202124"/>
        </w:rPr>
        <w:t xml:space="preserve"> (DKG)</w:t>
      </w:r>
      <w:r w:rsidR="00A05627">
        <w:rPr>
          <w:rFonts w:ascii="Arial" w:hAnsi="Arial" w:cs="Arial"/>
          <w:color w:val="202124"/>
        </w:rPr>
        <w:t xml:space="preserve"> begrüßt wesentliche Weichens</w:t>
      </w:r>
      <w:r w:rsidR="00B3343D">
        <w:rPr>
          <w:rFonts w:ascii="Arial" w:hAnsi="Arial" w:cs="Arial"/>
          <w:color w:val="202124"/>
        </w:rPr>
        <w:t>tellung</w:t>
      </w:r>
      <w:r w:rsidR="00A05627">
        <w:rPr>
          <w:rFonts w:ascii="Arial" w:hAnsi="Arial" w:cs="Arial"/>
          <w:color w:val="202124"/>
        </w:rPr>
        <w:t>en</w:t>
      </w:r>
      <w:r w:rsidR="00B3343D">
        <w:rPr>
          <w:rFonts w:ascii="Arial" w:hAnsi="Arial" w:cs="Arial"/>
          <w:color w:val="202124"/>
        </w:rPr>
        <w:t xml:space="preserve"> </w:t>
      </w:r>
      <w:r w:rsidR="005F27B5">
        <w:rPr>
          <w:rFonts w:ascii="Arial" w:hAnsi="Arial" w:cs="Arial"/>
          <w:color w:val="202124"/>
        </w:rPr>
        <w:t xml:space="preserve">bei </w:t>
      </w:r>
      <w:r w:rsidR="00A05627">
        <w:rPr>
          <w:rFonts w:ascii="Arial" w:hAnsi="Arial" w:cs="Arial"/>
          <w:color w:val="202124"/>
        </w:rPr>
        <w:t>der Reform der ambulanten Notfallversorgung</w:t>
      </w:r>
      <w:r w:rsidR="00B3343D">
        <w:rPr>
          <w:rFonts w:ascii="Arial" w:hAnsi="Arial" w:cs="Arial"/>
          <w:color w:val="202124"/>
        </w:rPr>
        <w:t xml:space="preserve">. Wichtig ist, dass der Gesetzgeber die Notfallversorgung zentral am Krankenhaus </w:t>
      </w:r>
      <w:r w:rsidR="008838C6">
        <w:rPr>
          <w:rFonts w:ascii="Arial" w:hAnsi="Arial" w:cs="Arial"/>
          <w:color w:val="202124"/>
        </w:rPr>
        <w:t>ansiedelt. D</w:t>
      </w:r>
      <w:r w:rsidR="008838C6" w:rsidRPr="008838C6">
        <w:rPr>
          <w:rFonts w:ascii="Arial" w:hAnsi="Arial" w:cs="Arial"/>
          <w:color w:val="202124"/>
        </w:rPr>
        <w:t xml:space="preserve">ie Krankenhäuser </w:t>
      </w:r>
      <w:r w:rsidR="008838C6">
        <w:rPr>
          <w:rFonts w:ascii="Arial" w:hAnsi="Arial" w:cs="Arial"/>
          <w:color w:val="202124"/>
        </w:rPr>
        <w:t xml:space="preserve">sind nach dieser Planung </w:t>
      </w:r>
      <w:r w:rsidR="008838C6" w:rsidRPr="008838C6">
        <w:rPr>
          <w:rFonts w:ascii="Arial" w:hAnsi="Arial" w:cs="Arial"/>
          <w:color w:val="202124"/>
        </w:rPr>
        <w:t>d</w:t>
      </w:r>
      <w:r w:rsidR="007520C0">
        <w:rPr>
          <w:rFonts w:ascii="Arial" w:hAnsi="Arial" w:cs="Arial"/>
          <w:color w:val="202124"/>
        </w:rPr>
        <w:t xml:space="preserve">ie zentralen Örtlichkeiten für </w:t>
      </w:r>
      <w:r w:rsidR="008838C6" w:rsidRPr="008838C6">
        <w:rPr>
          <w:rFonts w:ascii="Arial" w:hAnsi="Arial" w:cs="Arial"/>
          <w:color w:val="202124"/>
        </w:rPr>
        <w:t>Notfall</w:t>
      </w:r>
      <w:r w:rsidR="005F27B5">
        <w:rPr>
          <w:rFonts w:ascii="Arial" w:hAnsi="Arial" w:cs="Arial"/>
          <w:color w:val="202124"/>
        </w:rPr>
        <w:t>patienten</w:t>
      </w:r>
      <w:r w:rsidR="008838C6" w:rsidRPr="008838C6">
        <w:rPr>
          <w:rFonts w:ascii="Arial" w:hAnsi="Arial" w:cs="Arial"/>
          <w:color w:val="202124"/>
        </w:rPr>
        <w:t xml:space="preserve">. </w:t>
      </w:r>
      <w:r w:rsidR="007E00C8">
        <w:rPr>
          <w:rFonts w:ascii="Arial" w:hAnsi="Arial" w:cs="Arial"/>
          <w:color w:val="202124"/>
        </w:rPr>
        <w:t>Folgerichtig</w:t>
      </w:r>
      <w:r w:rsidR="008838C6" w:rsidRPr="008838C6">
        <w:rPr>
          <w:rFonts w:ascii="Arial" w:hAnsi="Arial" w:cs="Arial"/>
          <w:color w:val="202124"/>
        </w:rPr>
        <w:t xml:space="preserve"> soll der Sicherstellungsauftrag der Kassenärztlichen Vereinigungen</w:t>
      </w:r>
      <w:r w:rsidR="00785755">
        <w:rPr>
          <w:rFonts w:ascii="Arial" w:hAnsi="Arial" w:cs="Arial"/>
          <w:color w:val="202124"/>
        </w:rPr>
        <w:t xml:space="preserve"> (KVen)</w:t>
      </w:r>
      <w:r w:rsidR="008838C6" w:rsidRPr="008838C6">
        <w:rPr>
          <w:rFonts w:ascii="Arial" w:hAnsi="Arial" w:cs="Arial"/>
          <w:color w:val="202124"/>
        </w:rPr>
        <w:t xml:space="preserve"> gestrichen werden</w:t>
      </w:r>
      <w:r w:rsidR="009E792C">
        <w:rPr>
          <w:rFonts w:ascii="Arial" w:hAnsi="Arial" w:cs="Arial"/>
          <w:color w:val="202124"/>
        </w:rPr>
        <w:t>.</w:t>
      </w:r>
      <w:r w:rsidR="008838C6" w:rsidRPr="008838C6">
        <w:rPr>
          <w:rFonts w:ascii="Arial" w:hAnsi="Arial" w:cs="Arial"/>
          <w:color w:val="202124"/>
        </w:rPr>
        <w:t xml:space="preserve"> </w:t>
      </w:r>
      <w:r w:rsidR="008838C6">
        <w:rPr>
          <w:rFonts w:ascii="Arial" w:hAnsi="Arial" w:cs="Arial"/>
          <w:color w:val="202124"/>
        </w:rPr>
        <w:t>„Wir begrüßen dies</w:t>
      </w:r>
      <w:r w:rsidR="008838C6" w:rsidRPr="008838C6">
        <w:rPr>
          <w:rFonts w:ascii="Arial" w:hAnsi="Arial" w:cs="Arial"/>
          <w:color w:val="202124"/>
        </w:rPr>
        <w:t>e grunds</w:t>
      </w:r>
      <w:r w:rsidR="008838C6">
        <w:rPr>
          <w:rFonts w:ascii="Arial" w:hAnsi="Arial" w:cs="Arial"/>
          <w:color w:val="202124"/>
        </w:rPr>
        <w:t>ätzliche Zuordnungsentscheidung, denn s</w:t>
      </w:r>
      <w:r w:rsidR="008838C6" w:rsidRPr="008838C6">
        <w:rPr>
          <w:rFonts w:ascii="Arial" w:hAnsi="Arial" w:cs="Arial"/>
          <w:color w:val="202124"/>
        </w:rPr>
        <w:t>ie entspricht der Realität der bereits heute zu über 50</w:t>
      </w:r>
      <w:r w:rsidR="00785755">
        <w:rPr>
          <w:rFonts w:ascii="Arial" w:hAnsi="Arial" w:cs="Arial"/>
          <w:color w:val="202124"/>
        </w:rPr>
        <w:t xml:space="preserve"> Prozent</w:t>
      </w:r>
      <w:r w:rsidR="008838C6" w:rsidRPr="008838C6">
        <w:rPr>
          <w:rFonts w:ascii="Arial" w:hAnsi="Arial" w:cs="Arial"/>
          <w:color w:val="202124"/>
        </w:rPr>
        <w:t xml:space="preserve"> in den Krankenhäusern stattfindenden Versorgung. Mehr als die Hälfte der ca. 20 Mi</w:t>
      </w:r>
      <w:r w:rsidR="00785755">
        <w:rPr>
          <w:rFonts w:ascii="Arial" w:hAnsi="Arial" w:cs="Arial"/>
          <w:color w:val="202124"/>
        </w:rPr>
        <w:t>llionen</w:t>
      </w:r>
      <w:r w:rsidR="008838C6" w:rsidRPr="008838C6">
        <w:rPr>
          <w:rFonts w:ascii="Arial" w:hAnsi="Arial" w:cs="Arial"/>
          <w:color w:val="202124"/>
        </w:rPr>
        <w:t xml:space="preserve"> in Deutschland betreuten ambulanten Notf</w:t>
      </w:r>
      <w:r w:rsidR="008B11E4">
        <w:rPr>
          <w:rFonts w:ascii="Arial" w:hAnsi="Arial" w:cs="Arial"/>
          <w:color w:val="202124"/>
        </w:rPr>
        <w:t>allpatienten</w:t>
      </w:r>
      <w:r w:rsidR="008838C6" w:rsidRPr="008838C6">
        <w:rPr>
          <w:rFonts w:ascii="Arial" w:hAnsi="Arial" w:cs="Arial"/>
          <w:color w:val="202124"/>
        </w:rPr>
        <w:t xml:space="preserve"> (etwa 10,5 Mi</w:t>
      </w:r>
      <w:r w:rsidR="008B11E4">
        <w:rPr>
          <w:rFonts w:ascii="Arial" w:hAnsi="Arial" w:cs="Arial"/>
          <w:color w:val="202124"/>
        </w:rPr>
        <w:t>llionen</w:t>
      </w:r>
      <w:r w:rsidR="008838C6" w:rsidRPr="008838C6">
        <w:rPr>
          <w:rFonts w:ascii="Arial" w:hAnsi="Arial" w:cs="Arial"/>
          <w:color w:val="202124"/>
        </w:rPr>
        <w:t>) such</w:t>
      </w:r>
      <w:r w:rsidR="007520C0">
        <w:rPr>
          <w:rFonts w:ascii="Arial" w:hAnsi="Arial" w:cs="Arial"/>
          <w:color w:val="202124"/>
        </w:rPr>
        <w:t>t</w:t>
      </w:r>
      <w:r w:rsidR="008838C6" w:rsidRPr="008838C6">
        <w:rPr>
          <w:rFonts w:ascii="Arial" w:hAnsi="Arial" w:cs="Arial"/>
          <w:color w:val="202124"/>
        </w:rPr>
        <w:t xml:space="preserve"> Hilfe in Krankenhäusern.</w:t>
      </w:r>
      <w:r w:rsidR="008838C6">
        <w:rPr>
          <w:rFonts w:ascii="Arial" w:hAnsi="Arial" w:cs="Arial"/>
          <w:color w:val="202124"/>
        </w:rPr>
        <w:t xml:space="preserve"> </w:t>
      </w:r>
      <w:r w:rsidR="005F27B5">
        <w:rPr>
          <w:rFonts w:ascii="Arial" w:hAnsi="Arial" w:cs="Arial"/>
          <w:color w:val="202124"/>
        </w:rPr>
        <w:t>D</w:t>
      </w:r>
      <w:r w:rsidR="008F7617">
        <w:rPr>
          <w:rFonts w:ascii="Arial" w:hAnsi="Arial" w:cs="Arial"/>
          <w:color w:val="202124"/>
        </w:rPr>
        <w:t xml:space="preserve">ie Zuordnung auf die Krankenhäuser muss allerdings unter </w:t>
      </w:r>
      <w:proofErr w:type="gramStart"/>
      <w:r w:rsidR="007E00C8">
        <w:rPr>
          <w:rFonts w:ascii="Arial" w:hAnsi="Arial" w:cs="Arial"/>
          <w:color w:val="202124"/>
        </w:rPr>
        <w:t xml:space="preserve">– </w:t>
      </w:r>
      <w:r w:rsidR="00F1090D">
        <w:rPr>
          <w:rFonts w:ascii="Arial" w:hAnsi="Arial" w:cs="Arial"/>
          <w:color w:val="202124"/>
        </w:rPr>
        <w:t xml:space="preserve"> </w:t>
      </w:r>
      <w:r w:rsidR="008F7617">
        <w:rPr>
          <w:rFonts w:ascii="Arial" w:hAnsi="Arial" w:cs="Arial"/>
          <w:color w:val="202124"/>
        </w:rPr>
        <w:t xml:space="preserve">für die Kliniken </w:t>
      </w:r>
      <w:r w:rsidR="007E00C8">
        <w:rPr>
          <w:rFonts w:ascii="Arial" w:hAnsi="Arial" w:cs="Arial"/>
          <w:color w:val="202124"/>
        </w:rPr>
        <w:t xml:space="preserve">– </w:t>
      </w:r>
      <w:r w:rsidR="008F7617">
        <w:rPr>
          <w:rFonts w:ascii="Arial" w:hAnsi="Arial" w:cs="Arial"/>
          <w:color w:val="202124"/>
        </w:rPr>
        <w:t>organisatorisch</w:t>
      </w:r>
      <w:proofErr w:type="gramEnd"/>
      <w:r w:rsidR="008F7617">
        <w:rPr>
          <w:rFonts w:ascii="Arial" w:hAnsi="Arial" w:cs="Arial"/>
          <w:color w:val="202124"/>
        </w:rPr>
        <w:t xml:space="preserve"> und wirtschaftlich akzeptablen Regelungen erfolgen. Dies gewährleistet der Entwurf </w:t>
      </w:r>
      <w:r w:rsidR="00BA08EF">
        <w:rPr>
          <w:rFonts w:ascii="Arial" w:hAnsi="Arial" w:cs="Arial"/>
          <w:color w:val="202124"/>
        </w:rPr>
        <w:t xml:space="preserve">noch </w:t>
      </w:r>
      <w:r w:rsidR="008F7617">
        <w:rPr>
          <w:rFonts w:ascii="Arial" w:hAnsi="Arial" w:cs="Arial"/>
          <w:color w:val="202124"/>
        </w:rPr>
        <w:t>nicht</w:t>
      </w:r>
      <w:r w:rsidR="008838C6">
        <w:rPr>
          <w:rFonts w:ascii="Arial" w:hAnsi="Arial" w:cs="Arial"/>
          <w:color w:val="202124"/>
        </w:rPr>
        <w:t>“</w:t>
      </w:r>
      <w:r w:rsidR="00785755">
        <w:rPr>
          <w:rFonts w:ascii="Arial" w:hAnsi="Arial" w:cs="Arial"/>
          <w:color w:val="202124"/>
        </w:rPr>
        <w:t>,</w:t>
      </w:r>
      <w:r w:rsidR="008838C6">
        <w:rPr>
          <w:rFonts w:ascii="Arial" w:hAnsi="Arial" w:cs="Arial"/>
          <w:color w:val="202124"/>
        </w:rPr>
        <w:t xml:space="preserve"> </w:t>
      </w:r>
      <w:r w:rsidR="00A915B8">
        <w:rPr>
          <w:rFonts w:ascii="Arial" w:hAnsi="Arial" w:cs="Arial"/>
          <w:color w:val="202124"/>
        </w:rPr>
        <w:t>erklärte</w:t>
      </w:r>
      <w:r w:rsidR="008838C6">
        <w:rPr>
          <w:rFonts w:ascii="Arial" w:hAnsi="Arial" w:cs="Arial"/>
          <w:color w:val="202124"/>
        </w:rPr>
        <w:t xml:space="preserve"> </w:t>
      </w:r>
      <w:r w:rsidR="00785755">
        <w:rPr>
          <w:rFonts w:ascii="Arial" w:hAnsi="Arial" w:cs="Arial"/>
          <w:color w:val="202124"/>
        </w:rPr>
        <w:t xml:space="preserve">DKG-Präsident </w:t>
      </w:r>
      <w:r w:rsidR="008838C6">
        <w:rPr>
          <w:rFonts w:ascii="Arial" w:hAnsi="Arial" w:cs="Arial"/>
          <w:color w:val="202124"/>
        </w:rPr>
        <w:t xml:space="preserve">Dr. </w:t>
      </w:r>
      <w:r w:rsidR="00A915B8">
        <w:rPr>
          <w:rFonts w:ascii="Arial" w:hAnsi="Arial" w:cs="Arial"/>
          <w:color w:val="202124"/>
        </w:rPr>
        <w:t>Gerald</w:t>
      </w:r>
      <w:r w:rsidR="008838C6">
        <w:rPr>
          <w:rFonts w:ascii="Arial" w:hAnsi="Arial" w:cs="Arial"/>
          <w:color w:val="202124"/>
        </w:rPr>
        <w:t xml:space="preserve"> Gaß</w:t>
      </w:r>
      <w:r w:rsidR="00785755">
        <w:rPr>
          <w:rFonts w:ascii="Arial" w:hAnsi="Arial" w:cs="Arial"/>
          <w:color w:val="202124"/>
        </w:rPr>
        <w:t xml:space="preserve">. </w:t>
      </w:r>
    </w:p>
    <w:p w14:paraId="2841CC6E" w14:textId="77777777" w:rsidR="008838C6" w:rsidRPr="008838C6" w:rsidRDefault="008838C6" w:rsidP="008838C6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5E2D7224" w14:textId="56C850AF" w:rsidR="008838C6" w:rsidRDefault="00BA08EF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color w:val="202124"/>
        </w:rPr>
        <w:t>Nach dem</w:t>
      </w:r>
      <w:r w:rsidR="008838C6">
        <w:rPr>
          <w:rFonts w:ascii="Arial" w:hAnsi="Arial" w:cs="Arial"/>
          <w:color w:val="202124"/>
        </w:rPr>
        <w:t xml:space="preserve"> </w:t>
      </w:r>
      <w:r w:rsidR="00A915B8">
        <w:rPr>
          <w:rFonts w:ascii="Arial" w:hAnsi="Arial" w:cs="Arial"/>
          <w:color w:val="202124"/>
        </w:rPr>
        <w:t>vorliegenden</w:t>
      </w:r>
      <w:r w:rsidR="008838C6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Entwurf</w:t>
      </w:r>
      <w:r w:rsidR="008838C6">
        <w:rPr>
          <w:rFonts w:ascii="Arial" w:hAnsi="Arial" w:cs="Arial"/>
          <w:color w:val="202124"/>
        </w:rPr>
        <w:t xml:space="preserve"> sollen die </w:t>
      </w:r>
      <w:r w:rsidR="00A915B8">
        <w:rPr>
          <w:rFonts w:ascii="Arial" w:hAnsi="Arial" w:cs="Arial"/>
          <w:color w:val="202124"/>
        </w:rPr>
        <w:t>Länder</w:t>
      </w:r>
      <w:r w:rsidR="008838C6">
        <w:rPr>
          <w:rFonts w:ascii="Arial" w:hAnsi="Arial" w:cs="Arial"/>
          <w:color w:val="202124"/>
        </w:rPr>
        <w:t xml:space="preserve"> im </w:t>
      </w:r>
      <w:r w:rsidR="00A915B8">
        <w:rPr>
          <w:rFonts w:ascii="Arial" w:hAnsi="Arial" w:cs="Arial"/>
          <w:color w:val="202124"/>
        </w:rPr>
        <w:t>Rahmen ihre</w:t>
      </w:r>
      <w:r w:rsidR="00785755">
        <w:rPr>
          <w:rFonts w:ascii="Arial" w:hAnsi="Arial" w:cs="Arial"/>
          <w:color w:val="202124"/>
        </w:rPr>
        <w:t>r</w:t>
      </w:r>
      <w:r w:rsidR="008838C6">
        <w:rPr>
          <w:rFonts w:ascii="Arial" w:hAnsi="Arial" w:cs="Arial"/>
          <w:color w:val="202124"/>
        </w:rPr>
        <w:t xml:space="preserve"> </w:t>
      </w:r>
      <w:r w:rsidR="00A915B8">
        <w:rPr>
          <w:rFonts w:ascii="Arial" w:hAnsi="Arial" w:cs="Arial"/>
          <w:color w:val="202124"/>
        </w:rPr>
        <w:t xml:space="preserve">Krankenhausplanungen Kliniken festlegen, an denen in </w:t>
      </w:r>
      <w:r w:rsidR="00A915B8">
        <w:rPr>
          <w:rFonts w:ascii="Arial" w:hAnsi="Arial" w:cs="Arial"/>
        </w:rPr>
        <w:t xml:space="preserve">Integrierten Notfallzentren </w:t>
      </w:r>
      <w:r w:rsidR="00785755">
        <w:rPr>
          <w:rFonts w:ascii="Arial" w:hAnsi="Arial" w:cs="Arial"/>
        </w:rPr>
        <w:t>(</w:t>
      </w:r>
      <w:r w:rsidR="00785755" w:rsidRPr="00785755">
        <w:rPr>
          <w:rFonts w:ascii="Arial" w:hAnsi="Arial" w:cs="Arial"/>
        </w:rPr>
        <w:t>INZ</w:t>
      </w:r>
      <w:r w:rsidR="00785755">
        <w:rPr>
          <w:rFonts w:ascii="Arial" w:hAnsi="Arial" w:cs="Arial"/>
        </w:rPr>
        <w:t xml:space="preserve">) </w:t>
      </w:r>
      <w:r w:rsidR="00A915B8">
        <w:rPr>
          <w:rFonts w:ascii="Arial" w:hAnsi="Arial" w:cs="Arial"/>
        </w:rPr>
        <w:t>die ambulant</w:t>
      </w:r>
      <w:r w:rsidR="007E00C8">
        <w:rPr>
          <w:rFonts w:ascii="Arial" w:hAnsi="Arial" w:cs="Arial"/>
        </w:rPr>
        <w:t>en</w:t>
      </w:r>
      <w:r w:rsidR="00A915B8">
        <w:rPr>
          <w:rFonts w:ascii="Arial" w:hAnsi="Arial" w:cs="Arial"/>
        </w:rPr>
        <w:t xml:space="preserve"> Notf</w:t>
      </w:r>
      <w:r w:rsidR="008B11E4">
        <w:rPr>
          <w:rFonts w:ascii="Arial" w:hAnsi="Arial" w:cs="Arial"/>
        </w:rPr>
        <w:t>ä</w:t>
      </w:r>
      <w:r w:rsidR="00A915B8">
        <w:rPr>
          <w:rFonts w:ascii="Arial" w:hAnsi="Arial" w:cs="Arial"/>
        </w:rPr>
        <w:t>ll</w:t>
      </w:r>
      <w:r w:rsidR="008B11E4">
        <w:rPr>
          <w:rFonts w:ascii="Arial" w:hAnsi="Arial" w:cs="Arial"/>
        </w:rPr>
        <w:t>e</w:t>
      </w:r>
      <w:r w:rsidR="00A915B8">
        <w:rPr>
          <w:rFonts w:ascii="Arial" w:hAnsi="Arial" w:cs="Arial"/>
        </w:rPr>
        <w:t xml:space="preserve"> </w:t>
      </w:r>
      <w:r w:rsidR="008B11E4">
        <w:rPr>
          <w:rFonts w:ascii="Arial" w:hAnsi="Arial" w:cs="Arial"/>
        </w:rPr>
        <w:t xml:space="preserve">versorgt werden </w:t>
      </w:r>
      <w:r w:rsidR="00A915B8">
        <w:rPr>
          <w:rFonts w:ascii="Arial" w:hAnsi="Arial" w:cs="Arial"/>
        </w:rPr>
        <w:t>soll</w:t>
      </w:r>
      <w:r w:rsidR="008B11E4">
        <w:rPr>
          <w:rFonts w:ascii="Arial" w:hAnsi="Arial" w:cs="Arial"/>
        </w:rPr>
        <w:t>en</w:t>
      </w:r>
      <w:r w:rsidR="008838C6">
        <w:rPr>
          <w:rFonts w:ascii="Arial" w:hAnsi="Arial" w:cs="Arial"/>
          <w:color w:val="202124"/>
        </w:rPr>
        <w:t xml:space="preserve">. </w:t>
      </w:r>
      <w:r w:rsidR="0059069E">
        <w:rPr>
          <w:rFonts w:ascii="Arial" w:hAnsi="Arial" w:cs="Arial"/>
        </w:rPr>
        <w:t xml:space="preserve">Hier muss sichergestellt werden, dass alle Krankenhäuser, die bereits heute als Notfallkrankenhäuser definiert sind, auch ein </w:t>
      </w:r>
      <w:r w:rsidR="00785755">
        <w:rPr>
          <w:rFonts w:ascii="Arial" w:hAnsi="Arial" w:cs="Arial"/>
        </w:rPr>
        <w:t xml:space="preserve">INZ </w:t>
      </w:r>
      <w:r w:rsidR="0059069E">
        <w:rPr>
          <w:rFonts w:ascii="Arial" w:hAnsi="Arial" w:cs="Arial"/>
        </w:rPr>
        <w:t>erhalten</w:t>
      </w:r>
      <w:r w:rsidR="008838C6">
        <w:rPr>
          <w:rFonts w:ascii="Arial" w:hAnsi="Arial" w:cs="Arial"/>
        </w:rPr>
        <w:t>.</w:t>
      </w:r>
      <w:r w:rsidR="00A915B8">
        <w:rPr>
          <w:rFonts w:ascii="Arial" w:hAnsi="Arial" w:cs="Arial"/>
        </w:rPr>
        <w:t xml:space="preserve"> </w:t>
      </w:r>
      <w:r w:rsidR="00302511">
        <w:rPr>
          <w:rFonts w:ascii="Arial" w:hAnsi="Arial" w:cs="Arial"/>
        </w:rPr>
        <w:t xml:space="preserve">Es </w:t>
      </w:r>
      <w:r w:rsidR="008838C6">
        <w:rPr>
          <w:rFonts w:ascii="Arial" w:hAnsi="Arial" w:cs="Arial"/>
        </w:rPr>
        <w:t xml:space="preserve">wird </w:t>
      </w:r>
      <w:bookmarkStart w:id="0" w:name="_GoBack"/>
      <w:bookmarkEnd w:id="0"/>
      <w:r w:rsidR="008838C6">
        <w:rPr>
          <w:rFonts w:ascii="Arial" w:hAnsi="Arial" w:cs="Arial"/>
        </w:rPr>
        <w:t>Aufgabe der Länder sein</w:t>
      </w:r>
      <w:r w:rsidR="00785755">
        <w:rPr>
          <w:rFonts w:ascii="Arial" w:hAnsi="Arial" w:cs="Arial"/>
        </w:rPr>
        <w:t>,</w:t>
      </w:r>
      <w:r w:rsidR="008838C6">
        <w:rPr>
          <w:rFonts w:ascii="Arial" w:hAnsi="Arial" w:cs="Arial"/>
        </w:rPr>
        <w:t xml:space="preserve"> auch durch Ausnahmen eine flächendeckende </w:t>
      </w:r>
      <w:r w:rsidR="008F7617">
        <w:rPr>
          <w:rFonts w:ascii="Arial" w:hAnsi="Arial" w:cs="Arial"/>
        </w:rPr>
        <w:t xml:space="preserve">Zugangsmöglichkeit für Notfallpatienten </w:t>
      </w:r>
      <w:r w:rsidR="008838C6">
        <w:rPr>
          <w:rFonts w:ascii="Arial" w:hAnsi="Arial" w:cs="Arial"/>
        </w:rPr>
        <w:t xml:space="preserve">zu gewährleisten. </w:t>
      </w:r>
      <w:r w:rsidR="005F27B5">
        <w:rPr>
          <w:rFonts w:ascii="Arial" w:hAnsi="Arial" w:cs="Arial"/>
        </w:rPr>
        <w:t xml:space="preserve">Wie für </w:t>
      </w:r>
      <w:r>
        <w:rPr>
          <w:rFonts w:ascii="Arial" w:hAnsi="Arial" w:cs="Arial"/>
        </w:rPr>
        <w:t xml:space="preserve">die bestehenden </w:t>
      </w:r>
      <w:r w:rsidR="005F27B5">
        <w:rPr>
          <w:rFonts w:ascii="Arial" w:hAnsi="Arial" w:cs="Arial"/>
        </w:rPr>
        <w:t xml:space="preserve">Notfall-Portalpraxen aus dem niedergelassenen Bereich muss es für die </w:t>
      </w:r>
      <w:r>
        <w:rPr>
          <w:rFonts w:ascii="Arial" w:hAnsi="Arial" w:cs="Arial"/>
        </w:rPr>
        <w:t xml:space="preserve">bestehenden </w:t>
      </w:r>
      <w:r w:rsidR="005F27B5">
        <w:rPr>
          <w:rFonts w:ascii="Arial" w:hAnsi="Arial" w:cs="Arial"/>
        </w:rPr>
        <w:t>Notfallambulanzen aller Krankenhäuser Übergangsregelungen geben.</w:t>
      </w:r>
      <w:r w:rsidR="005C3D14">
        <w:rPr>
          <w:rFonts w:ascii="Arial" w:hAnsi="Arial" w:cs="Arial"/>
        </w:rPr>
        <w:t xml:space="preserve"> Die Überführung in die krankenhauszentrierte Notfallversorgung kann ohnehin nur in kontinuierlichen von den regionalen Versorgungsgegebenheiten abhängigen mittelfristigen Zeiträumen erfolge</w:t>
      </w:r>
      <w:r w:rsidR="00302511">
        <w:rPr>
          <w:rFonts w:ascii="Arial" w:hAnsi="Arial" w:cs="Arial"/>
        </w:rPr>
        <w:t>n</w:t>
      </w:r>
      <w:r w:rsidR="005C3D14">
        <w:rPr>
          <w:rFonts w:ascii="Arial" w:hAnsi="Arial" w:cs="Arial"/>
        </w:rPr>
        <w:t xml:space="preserve">. </w:t>
      </w:r>
    </w:p>
    <w:p w14:paraId="767827EB" w14:textId="77777777" w:rsidR="00A915B8" w:rsidRDefault="00A915B8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66A11102" w14:textId="1D0118D7" w:rsidR="00FE1BD8" w:rsidRDefault="005F27B5" w:rsidP="00FE1BD8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color w:val="202124"/>
        </w:rPr>
        <w:lastRenderedPageBreak/>
        <w:t xml:space="preserve">Der </w:t>
      </w:r>
      <w:r w:rsidR="00B3343D">
        <w:rPr>
          <w:rFonts w:ascii="Arial" w:hAnsi="Arial" w:cs="Arial"/>
          <w:color w:val="202124"/>
        </w:rPr>
        <w:t>Reform</w:t>
      </w:r>
      <w:r w:rsidR="008F7617">
        <w:rPr>
          <w:rFonts w:ascii="Arial" w:hAnsi="Arial" w:cs="Arial"/>
          <w:color w:val="202124"/>
        </w:rPr>
        <w:t>entwurf</w:t>
      </w:r>
      <w:r w:rsidR="00B3343D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 xml:space="preserve">ist </w:t>
      </w:r>
      <w:r w:rsidR="00B3343D">
        <w:rPr>
          <w:rFonts w:ascii="Arial" w:hAnsi="Arial" w:cs="Arial"/>
          <w:color w:val="202124"/>
        </w:rPr>
        <w:t xml:space="preserve">nicht konsistent. </w:t>
      </w:r>
      <w:r>
        <w:rPr>
          <w:rFonts w:ascii="Arial" w:hAnsi="Arial" w:cs="Arial"/>
          <w:color w:val="202124"/>
        </w:rPr>
        <w:t xml:space="preserve">Dass </w:t>
      </w:r>
      <w:r w:rsidR="0050097D">
        <w:rPr>
          <w:rFonts w:ascii="Arial" w:hAnsi="Arial" w:cs="Arial"/>
          <w:color w:val="202124"/>
        </w:rPr>
        <w:t>zu gründen</w:t>
      </w:r>
      <w:r>
        <w:rPr>
          <w:rFonts w:ascii="Arial" w:hAnsi="Arial" w:cs="Arial"/>
          <w:color w:val="202124"/>
        </w:rPr>
        <w:t>de</w:t>
      </w:r>
      <w:r w:rsidR="0050097D">
        <w:rPr>
          <w:rFonts w:ascii="Arial" w:hAnsi="Arial" w:cs="Arial"/>
          <w:color w:val="202124"/>
        </w:rPr>
        <w:t xml:space="preserve"> </w:t>
      </w:r>
      <w:r w:rsidR="008838C6">
        <w:rPr>
          <w:rFonts w:ascii="Arial" w:hAnsi="Arial" w:cs="Arial"/>
          <w:color w:val="202124"/>
        </w:rPr>
        <w:t>INZ</w:t>
      </w:r>
      <w:r w:rsidR="0050097D">
        <w:rPr>
          <w:rFonts w:ascii="Arial" w:hAnsi="Arial" w:cs="Arial"/>
          <w:color w:val="202124"/>
        </w:rPr>
        <w:t xml:space="preserve"> in de</w:t>
      </w:r>
      <w:r w:rsidR="00785755">
        <w:rPr>
          <w:rFonts w:ascii="Arial" w:hAnsi="Arial" w:cs="Arial"/>
          <w:color w:val="202124"/>
        </w:rPr>
        <w:t>n</w:t>
      </w:r>
      <w:r w:rsidR="0050097D">
        <w:rPr>
          <w:rFonts w:ascii="Arial" w:hAnsi="Arial" w:cs="Arial"/>
          <w:color w:val="202124"/>
        </w:rPr>
        <w:t xml:space="preserve"> Kliniken </w:t>
      </w:r>
      <w:r w:rsidR="00A915B8">
        <w:rPr>
          <w:rFonts w:ascii="Arial" w:hAnsi="Arial" w:cs="Arial"/>
          <w:color w:val="202124"/>
        </w:rPr>
        <w:t>gemeinsam</w:t>
      </w:r>
      <w:r w:rsidR="0050097D">
        <w:rPr>
          <w:rFonts w:ascii="Arial" w:hAnsi="Arial" w:cs="Arial"/>
          <w:color w:val="202124"/>
        </w:rPr>
        <w:t xml:space="preserve"> von </w:t>
      </w:r>
      <w:r w:rsidR="00A915B8">
        <w:rPr>
          <w:rFonts w:ascii="Arial" w:hAnsi="Arial" w:cs="Arial"/>
          <w:color w:val="202124"/>
        </w:rPr>
        <w:t>Krankenhaus</w:t>
      </w:r>
      <w:r w:rsidR="0050097D">
        <w:rPr>
          <w:rFonts w:ascii="Arial" w:hAnsi="Arial" w:cs="Arial"/>
          <w:color w:val="202124"/>
        </w:rPr>
        <w:t xml:space="preserve"> und KV </w:t>
      </w:r>
      <w:r w:rsidR="008F7617">
        <w:rPr>
          <w:rFonts w:ascii="Arial" w:hAnsi="Arial" w:cs="Arial"/>
          <w:color w:val="202124"/>
        </w:rPr>
        <w:t>betrieben werden</w:t>
      </w:r>
      <w:r>
        <w:rPr>
          <w:rFonts w:ascii="Arial" w:hAnsi="Arial" w:cs="Arial"/>
          <w:color w:val="202124"/>
        </w:rPr>
        <w:t xml:space="preserve"> sollen</w:t>
      </w:r>
      <w:r w:rsidR="007E00C8">
        <w:rPr>
          <w:rFonts w:ascii="Arial" w:hAnsi="Arial" w:cs="Arial"/>
          <w:color w:val="202124"/>
        </w:rPr>
        <w:t>,</w:t>
      </w:r>
      <w:r>
        <w:rPr>
          <w:rFonts w:ascii="Arial" w:hAnsi="Arial" w:cs="Arial"/>
          <w:color w:val="202124"/>
        </w:rPr>
        <w:t xml:space="preserve"> ist e</w:t>
      </w:r>
      <w:r w:rsidR="008838C6">
        <w:rPr>
          <w:rFonts w:ascii="Arial" w:hAnsi="Arial" w:cs="Arial"/>
          <w:color w:val="202124"/>
        </w:rPr>
        <w:t>in</w:t>
      </w:r>
      <w:r w:rsidR="0050097D">
        <w:rPr>
          <w:rFonts w:ascii="Arial" w:hAnsi="Arial" w:cs="Arial"/>
          <w:color w:val="202124"/>
        </w:rPr>
        <w:t xml:space="preserve"> Systembruch. </w:t>
      </w:r>
      <w:r w:rsidR="00B3343D" w:rsidRPr="008262B8">
        <w:rPr>
          <w:rFonts w:ascii="Arial" w:hAnsi="Arial" w:cs="Arial"/>
        </w:rPr>
        <w:t xml:space="preserve">Die Einbeziehung der </w:t>
      </w:r>
      <w:r w:rsidR="00785755">
        <w:rPr>
          <w:rFonts w:ascii="Arial" w:hAnsi="Arial" w:cs="Arial"/>
        </w:rPr>
        <w:t>KVen</w:t>
      </w:r>
      <w:r w:rsidR="00B3343D">
        <w:rPr>
          <w:rFonts w:ascii="Arial" w:hAnsi="Arial" w:cs="Arial"/>
        </w:rPr>
        <w:t xml:space="preserve"> </w:t>
      </w:r>
      <w:r w:rsidR="004F4681">
        <w:rPr>
          <w:rFonts w:ascii="Arial" w:hAnsi="Arial" w:cs="Arial"/>
        </w:rPr>
        <w:t>ist sachlich nicht begründet</w:t>
      </w:r>
      <w:r w:rsidR="00B3343D" w:rsidRPr="008262B8">
        <w:rPr>
          <w:rFonts w:ascii="Arial" w:hAnsi="Arial" w:cs="Arial"/>
        </w:rPr>
        <w:t xml:space="preserve">. Die Krankenhäuser können diese Zentren </w:t>
      </w:r>
      <w:r w:rsidR="008F7617">
        <w:rPr>
          <w:rFonts w:ascii="Arial" w:hAnsi="Arial" w:cs="Arial"/>
        </w:rPr>
        <w:t xml:space="preserve">wie heute ihre Notfallambulanzen </w:t>
      </w:r>
      <w:r w:rsidR="00B3343D" w:rsidRPr="008262B8">
        <w:rPr>
          <w:rFonts w:ascii="Arial" w:hAnsi="Arial" w:cs="Arial"/>
        </w:rPr>
        <w:t>alleine betreiben und die</w:t>
      </w:r>
      <w:r w:rsidR="008F7617">
        <w:rPr>
          <w:rFonts w:ascii="Arial" w:hAnsi="Arial" w:cs="Arial"/>
        </w:rPr>
        <w:t xml:space="preserve"> </w:t>
      </w:r>
      <w:r w:rsidR="00F1090D">
        <w:rPr>
          <w:rFonts w:ascii="Arial" w:hAnsi="Arial" w:cs="Arial"/>
        </w:rPr>
        <w:t>bestehenden</w:t>
      </w:r>
      <w:r w:rsidR="00B3343D" w:rsidRPr="008262B8">
        <w:rPr>
          <w:rFonts w:ascii="Arial" w:hAnsi="Arial" w:cs="Arial"/>
        </w:rPr>
        <w:t xml:space="preserve"> Kooperation</w:t>
      </w:r>
      <w:r w:rsidR="00F1090D">
        <w:rPr>
          <w:rFonts w:ascii="Arial" w:hAnsi="Arial" w:cs="Arial"/>
        </w:rPr>
        <w:t>en</w:t>
      </w:r>
      <w:r w:rsidR="00B3343D" w:rsidRPr="008262B8">
        <w:rPr>
          <w:rFonts w:ascii="Arial" w:hAnsi="Arial" w:cs="Arial"/>
        </w:rPr>
        <w:t xml:space="preserve"> mit niedergelassenen Ärzten </w:t>
      </w:r>
      <w:r>
        <w:rPr>
          <w:rFonts w:ascii="Arial" w:hAnsi="Arial" w:cs="Arial"/>
        </w:rPr>
        <w:t>fortführen</w:t>
      </w:r>
      <w:r w:rsidR="00B3343D">
        <w:rPr>
          <w:rFonts w:ascii="Arial" w:hAnsi="Arial" w:cs="Arial"/>
        </w:rPr>
        <w:t xml:space="preserve">. </w:t>
      </w:r>
      <w:r w:rsidR="002D24F9">
        <w:rPr>
          <w:rFonts w:ascii="Arial" w:hAnsi="Arial" w:cs="Arial"/>
        </w:rPr>
        <w:t xml:space="preserve">Wie bei vielen anderen ambulanten Leistungsformaten in den Krankenhäusern (Ambulante Spezialfachärztliche Versorgung, ambulantes Operieren, Institutsambulanzen) haben die KVen als Betreiber im Krankenhaus keinen Platz. </w:t>
      </w:r>
      <w:r w:rsidR="00FE1BD8">
        <w:rPr>
          <w:rFonts w:ascii="Arial" w:hAnsi="Arial" w:cs="Arial"/>
        </w:rPr>
        <w:t xml:space="preserve">Auch andere </w:t>
      </w:r>
      <w:r w:rsidR="00FE1BD8" w:rsidRPr="00097542">
        <w:rPr>
          <w:rFonts w:ascii="Arial" w:hAnsi="Arial" w:cs="Arial"/>
        </w:rPr>
        <w:t xml:space="preserve"> Regelungen der vertragsärztlichen Versorgung</w:t>
      </w:r>
      <w:r w:rsidR="00FE1BD8">
        <w:rPr>
          <w:rFonts w:ascii="Arial" w:hAnsi="Arial" w:cs="Arial"/>
        </w:rPr>
        <w:t xml:space="preserve"> (so der </w:t>
      </w:r>
      <w:r w:rsidR="00FE1BD8" w:rsidRPr="00097542">
        <w:rPr>
          <w:rFonts w:ascii="Arial" w:hAnsi="Arial" w:cs="Arial"/>
        </w:rPr>
        <w:t>Bundesmantelvertrag Ärzte</w:t>
      </w:r>
      <w:r w:rsidR="00FE1BD8">
        <w:rPr>
          <w:rFonts w:ascii="Arial" w:hAnsi="Arial" w:cs="Arial"/>
        </w:rPr>
        <w:t>)</w:t>
      </w:r>
      <w:r w:rsidR="00FE1BD8" w:rsidRPr="00097542">
        <w:rPr>
          <w:rFonts w:ascii="Arial" w:hAnsi="Arial" w:cs="Arial"/>
        </w:rPr>
        <w:t xml:space="preserve"> </w:t>
      </w:r>
      <w:r w:rsidR="00FE1BD8">
        <w:rPr>
          <w:rFonts w:ascii="Arial" w:hAnsi="Arial" w:cs="Arial"/>
        </w:rPr>
        <w:t xml:space="preserve">können im INZ keine </w:t>
      </w:r>
      <w:r w:rsidR="00FE1BD8" w:rsidRPr="00097542">
        <w:rPr>
          <w:rFonts w:ascii="Arial" w:hAnsi="Arial" w:cs="Arial"/>
        </w:rPr>
        <w:t>Anwendung finden.</w:t>
      </w:r>
      <w:r w:rsidR="00FE1BD8">
        <w:rPr>
          <w:rFonts w:ascii="Arial" w:hAnsi="Arial" w:cs="Arial"/>
        </w:rPr>
        <w:t xml:space="preserve"> Grundsatz muss sein:</w:t>
      </w:r>
      <w:r w:rsidR="00FE1BD8" w:rsidRPr="00097542">
        <w:rPr>
          <w:rFonts w:ascii="Arial" w:hAnsi="Arial" w:cs="Arial"/>
        </w:rPr>
        <w:t xml:space="preserve"> </w:t>
      </w:r>
      <w:r w:rsidR="00FE1BD8">
        <w:rPr>
          <w:rFonts w:ascii="Arial" w:hAnsi="Arial" w:cs="Arial"/>
        </w:rPr>
        <w:t xml:space="preserve">Was für Kliniken gilt, kann nicht von Dritten ohne die Krankenhäuser festgelegt werden. </w:t>
      </w:r>
    </w:p>
    <w:p w14:paraId="3A871AD9" w14:textId="77777777" w:rsidR="008838C6" w:rsidRDefault="008838C6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0995F03A" w14:textId="78EA5539" w:rsidR="00B3343D" w:rsidRDefault="00B3343D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B3343D">
        <w:rPr>
          <w:rFonts w:ascii="Arial" w:hAnsi="Arial" w:cs="Arial"/>
          <w:color w:val="202124"/>
        </w:rPr>
        <w:t xml:space="preserve">Ausdrücklich zu begrüßen ist die vorgesehene </w:t>
      </w:r>
      <w:r w:rsidR="00F1090D">
        <w:rPr>
          <w:rFonts w:ascii="Arial" w:hAnsi="Arial" w:cs="Arial"/>
          <w:color w:val="202124"/>
        </w:rPr>
        <w:t>Neuordnung</w:t>
      </w:r>
      <w:r w:rsidR="008F7617">
        <w:rPr>
          <w:rFonts w:ascii="Arial" w:hAnsi="Arial" w:cs="Arial"/>
          <w:color w:val="202124"/>
        </w:rPr>
        <w:t xml:space="preserve"> der </w:t>
      </w:r>
      <w:r w:rsidRPr="00B3343D">
        <w:rPr>
          <w:rFonts w:ascii="Arial" w:hAnsi="Arial" w:cs="Arial"/>
          <w:color w:val="202124"/>
        </w:rPr>
        <w:t xml:space="preserve">Vergütung </w:t>
      </w:r>
      <w:r w:rsidR="005F27B5">
        <w:rPr>
          <w:rFonts w:ascii="Arial" w:hAnsi="Arial" w:cs="Arial"/>
          <w:color w:val="202124"/>
        </w:rPr>
        <w:t xml:space="preserve">für die </w:t>
      </w:r>
      <w:r w:rsidRPr="00B3343D">
        <w:rPr>
          <w:rFonts w:ascii="Arial" w:hAnsi="Arial" w:cs="Arial"/>
          <w:color w:val="202124"/>
        </w:rPr>
        <w:t xml:space="preserve">ambulanten Notfallleistungen </w:t>
      </w:r>
      <w:r w:rsidR="005F27B5">
        <w:rPr>
          <w:rFonts w:ascii="Arial" w:hAnsi="Arial" w:cs="Arial"/>
          <w:color w:val="202124"/>
        </w:rPr>
        <w:t xml:space="preserve">der krankenhauszentrierten </w:t>
      </w:r>
      <w:r w:rsidRPr="00B3343D">
        <w:rPr>
          <w:rFonts w:ascii="Arial" w:hAnsi="Arial" w:cs="Arial"/>
          <w:color w:val="202124"/>
        </w:rPr>
        <w:t>INZ</w:t>
      </w:r>
      <w:r w:rsidR="008F7617">
        <w:rPr>
          <w:rFonts w:ascii="Arial" w:hAnsi="Arial" w:cs="Arial"/>
          <w:color w:val="202124"/>
        </w:rPr>
        <w:t xml:space="preserve"> a</w:t>
      </w:r>
      <w:r w:rsidR="00F1090D">
        <w:rPr>
          <w:rFonts w:ascii="Arial" w:hAnsi="Arial" w:cs="Arial"/>
          <w:color w:val="202124"/>
        </w:rPr>
        <w:t>l</w:t>
      </w:r>
      <w:r w:rsidR="008F7617">
        <w:rPr>
          <w:rFonts w:ascii="Arial" w:hAnsi="Arial" w:cs="Arial"/>
          <w:color w:val="202124"/>
        </w:rPr>
        <w:t xml:space="preserve">s </w:t>
      </w:r>
      <w:r w:rsidR="00F1090D">
        <w:rPr>
          <w:rFonts w:ascii="Arial" w:hAnsi="Arial" w:cs="Arial"/>
          <w:color w:val="202124"/>
        </w:rPr>
        <w:t>eigenständiges</w:t>
      </w:r>
      <w:r w:rsidR="008F7617">
        <w:rPr>
          <w:rFonts w:ascii="Arial" w:hAnsi="Arial" w:cs="Arial"/>
          <w:color w:val="202124"/>
        </w:rPr>
        <w:t xml:space="preserve"> Vergütungssy</w:t>
      </w:r>
      <w:r w:rsidR="00F1090D">
        <w:rPr>
          <w:rFonts w:ascii="Arial" w:hAnsi="Arial" w:cs="Arial"/>
          <w:color w:val="202124"/>
        </w:rPr>
        <w:t>s</w:t>
      </w:r>
      <w:r w:rsidR="008F7617">
        <w:rPr>
          <w:rFonts w:ascii="Arial" w:hAnsi="Arial" w:cs="Arial"/>
          <w:color w:val="202124"/>
        </w:rPr>
        <w:t>tem</w:t>
      </w:r>
      <w:r w:rsidR="005A4A1E">
        <w:rPr>
          <w:rFonts w:ascii="Arial" w:hAnsi="Arial" w:cs="Arial"/>
          <w:color w:val="202124"/>
        </w:rPr>
        <w:t xml:space="preserve">. Sie soll </w:t>
      </w:r>
      <w:r w:rsidRPr="00B3343D">
        <w:rPr>
          <w:rFonts w:ascii="Arial" w:hAnsi="Arial" w:cs="Arial"/>
          <w:color w:val="202124"/>
        </w:rPr>
        <w:t xml:space="preserve">aus der </w:t>
      </w:r>
      <w:r w:rsidR="00785755">
        <w:rPr>
          <w:rFonts w:ascii="Arial" w:hAnsi="Arial" w:cs="Arial"/>
          <w:color w:val="202124"/>
        </w:rPr>
        <w:t>m</w:t>
      </w:r>
      <w:r w:rsidRPr="00B3343D">
        <w:rPr>
          <w:rFonts w:ascii="Arial" w:hAnsi="Arial" w:cs="Arial"/>
          <w:color w:val="202124"/>
        </w:rPr>
        <w:t>orbid</w:t>
      </w:r>
      <w:r>
        <w:rPr>
          <w:rFonts w:ascii="Arial" w:hAnsi="Arial" w:cs="Arial"/>
          <w:color w:val="202124"/>
        </w:rPr>
        <w:t xml:space="preserve">itätsbedingten Gesamtvergütung </w:t>
      </w:r>
      <w:r w:rsidRPr="00B3343D">
        <w:rPr>
          <w:rFonts w:ascii="Arial" w:hAnsi="Arial" w:cs="Arial"/>
          <w:color w:val="202124"/>
        </w:rPr>
        <w:t xml:space="preserve">herausgelöst und von den Krankenkassen direkt </w:t>
      </w:r>
      <w:r w:rsidR="005A4A1E">
        <w:rPr>
          <w:rFonts w:ascii="Arial" w:hAnsi="Arial" w:cs="Arial"/>
          <w:color w:val="202124"/>
        </w:rPr>
        <w:t>vergütet werden</w:t>
      </w:r>
      <w:r w:rsidRPr="00B3343D">
        <w:rPr>
          <w:rFonts w:ascii="Arial" w:hAnsi="Arial" w:cs="Arial"/>
          <w:color w:val="202124"/>
        </w:rPr>
        <w:t>.</w:t>
      </w:r>
      <w:r w:rsidR="005F27B5">
        <w:rPr>
          <w:rFonts w:ascii="Arial" w:hAnsi="Arial" w:cs="Arial"/>
          <w:color w:val="202124"/>
        </w:rPr>
        <w:t xml:space="preserve"> Die Neuordnung muss gewährleisten, dass die </w:t>
      </w:r>
      <w:r w:rsidR="007E00C8">
        <w:rPr>
          <w:rFonts w:ascii="Arial" w:hAnsi="Arial" w:cs="Arial"/>
          <w:color w:val="202124"/>
        </w:rPr>
        <w:t xml:space="preserve">hohe </w:t>
      </w:r>
      <w:r w:rsidR="00DE25E9">
        <w:rPr>
          <w:rFonts w:ascii="Arial" w:hAnsi="Arial" w:cs="Arial"/>
          <w:color w:val="202124"/>
        </w:rPr>
        <w:t>Unterdeckung (über 1 Milliarde Euro</w:t>
      </w:r>
      <w:r w:rsidR="007E00C8">
        <w:rPr>
          <w:rFonts w:ascii="Arial" w:hAnsi="Arial" w:cs="Arial"/>
          <w:color w:val="202124"/>
        </w:rPr>
        <w:t>), die die Krankenhäuse</w:t>
      </w:r>
      <w:r w:rsidR="005F27B5">
        <w:rPr>
          <w:rFonts w:ascii="Arial" w:hAnsi="Arial" w:cs="Arial"/>
          <w:color w:val="202124"/>
        </w:rPr>
        <w:t>r in den Notfallambul</w:t>
      </w:r>
      <w:r w:rsidR="007E00C8">
        <w:rPr>
          <w:rFonts w:ascii="Arial" w:hAnsi="Arial" w:cs="Arial"/>
          <w:color w:val="202124"/>
        </w:rPr>
        <w:t>anzen heute haben, beendet wird.</w:t>
      </w:r>
      <w:r w:rsidR="005F27B5">
        <w:rPr>
          <w:rFonts w:ascii="Arial" w:hAnsi="Arial" w:cs="Arial"/>
          <w:color w:val="202124"/>
        </w:rPr>
        <w:t xml:space="preserve"> Die vorgesehene</w:t>
      </w:r>
      <w:r w:rsidR="007E00C8">
        <w:rPr>
          <w:rFonts w:ascii="Arial" w:hAnsi="Arial" w:cs="Arial"/>
          <w:color w:val="202124"/>
        </w:rPr>
        <w:t>n</w:t>
      </w:r>
      <w:r w:rsidR="005F27B5">
        <w:rPr>
          <w:rFonts w:ascii="Arial" w:hAnsi="Arial" w:cs="Arial"/>
          <w:color w:val="202124"/>
        </w:rPr>
        <w:t xml:space="preserve"> </w:t>
      </w:r>
      <w:r w:rsidRPr="00B3343D">
        <w:rPr>
          <w:rFonts w:ascii="Arial" w:hAnsi="Arial" w:cs="Arial"/>
          <w:color w:val="202124"/>
        </w:rPr>
        <w:t xml:space="preserve"> fallzahlunabhängige</w:t>
      </w:r>
      <w:r w:rsidR="007E00C8">
        <w:rPr>
          <w:rFonts w:ascii="Arial" w:hAnsi="Arial" w:cs="Arial"/>
          <w:color w:val="202124"/>
        </w:rPr>
        <w:t>n</w:t>
      </w:r>
      <w:r w:rsidRPr="00B3343D">
        <w:rPr>
          <w:rFonts w:ascii="Arial" w:hAnsi="Arial" w:cs="Arial"/>
          <w:color w:val="202124"/>
        </w:rPr>
        <w:t xml:space="preserve"> Grundpauschale</w:t>
      </w:r>
      <w:r w:rsidR="00D26603">
        <w:rPr>
          <w:rFonts w:ascii="Arial" w:hAnsi="Arial" w:cs="Arial"/>
          <w:color w:val="202124"/>
        </w:rPr>
        <w:t>n</w:t>
      </w:r>
      <w:r w:rsidRPr="00B3343D">
        <w:rPr>
          <w:rFonts w:ascii="Arial" w:hAnsi="Arial" w:cs="Arial"/>
          <w:color w:val="202124"/>
        </w:rPr>
        <w:t xml:space="preserve"> </w:t>
      </w:r>
      <w:r w:rsidR="005F27B5">
        <w:rPr>
          <w:rFonts w:ascii="Arial" w:hAnsi="Arial" w:cs="Arial"/>
          <w:color w:val="202124"/>
        </w:rPr>
        <w:t xml:space="preserve">für die Vorhaltekosten </w:t>
      </w:r>
      <w:r w:rsidRPr="00B3343D">
        <w:rPr>
          <w:rFonts w:ascii="Arial" w:hAnsi="Arial" w:cs="Arial"/>
          <w:color w:val="202124"/>
        </w:rPr>
        <w:t xml:space="preserve">und </w:t>
      </w:r>
      <w:r w:rsidR="005F27B5">
        <w:rPr>
          <w:rFonts w:ascii="Arial" w:hAnsi="Arial" w:cs="Arial"/>
          <w:color w:val="202124"/>
        </w:rPr>
        <w:t xml:space="preserve">die </w:t>
      </w:r>
      <w:r w:rsidRPr="00B3343D">
        <w:rPr>
          <w:rFonts w:ascii="Arial" w:hAnsi="Arial" w:cs="Arial"/>
          <w:color w:val="202124"/>
        </w:rPr>
        <w:t>nach Schweregrad der Fälle differenzierte</w:t>
      </w:r>
      <w:r w:rsidR="007E00C8">
        <w:rPr>
          <w:rFonts w:ascii="Arial" w:hAnsi="Arial" w:cs="Arial"/>
          <w:color w:val="202124"/>
        </w:rPr>
        <w:t>n</w:t>
      </w:r>
      <w:r w:rsidRPr="00B3343D">
        <w:rPr>
          <w:rFonts w:ascii="Arial" w:hAnsi="Arial" w:cs="Arial"/>
          <w:color w:val="202124"/>
        </w:rPr>
        <w:t xml:space="preserve"> Pauschalen </w:t>
      </w:r>
      <w:r w:rsidR="005F27B5">
        <w:rPr>
          <w:rFonts w:ascii="Arial" w:hAnsi="Arial" w:cs="Arial"/>
          <w:color w:val="202124"/>
        </w:rPr>
        <w:t>müssen die wirtschaftliche Absicherung der INZ gewährleisten</w:t>
      </w:r>
      <w:r w:rsidRPr="00B3343D">
        <w:rPr>
          <w:rFonts w:ascii="Arial" w:hAnsi="Arial" w:cs="Arial"/>
          <w:color w:val="202124"/>
        </w:rPr>
        <w:t xml:space="preserve">. </w:t>
      </w:r>
      <w:r w:rsidR="00D26603">
        <w:rPr>
          <w:rFonts w:ascii="Arial" w:hAnsi="Arial" w:cs="Arial"/>
          <w:color w:val="202124"/>
        </w:rPr>
        <w:t>D</w:t>
      </w:r>
      <w:r w:rsidR="0050097D">
        <w:rPr>
          <w:rFonts w:ascii="Arial" w:hAnsi="Arial" w:cs="Arial"/>
          <w:color w:val="202124"/>
        </w:rPr>
        <w:t xml:space="preserve">ie </w:t>
      </w:r>
      <w:r w:rsidR="0050097D">
        <w:rPr>
          <w:rFonts w:ascii="Arial" w:hAnsi="Arial" w:cs="Arial"/>
        </w:rPr>
        <w:t xml:space="preserve">Kalkulationsgrundlage der Pauschalen </w:t>
      </w:r>
      <w:r w:rsidR="005F27B5">
        <w:rPr>
          <w:rFonts w:ascii="Arial" w:hAnsi="Arial" w:cs="Arial"/>
        </w:rPr>
        <w:t xml:space="preserve">kann </w:t>
      </w:r>
      <w:r w:rsidR="0050097D">
        <w:rPr>
          <w:rFonts w:ascii="Arial" w:hAnsi="Arial" w:cs="Arial"/>
        </w:rPr>
        <w:t>auf keine</w:t>
      </w:r>
      <w:r w:rsidR="00785755">
        <w:rPr>
          <w:rFonts w:ascii="Arial" w:hAnsi="Arial" w:cs="Arial"/>
        </w:rPr>
        <w:t>n</w:t>
      </w:r>
      <w:r w:rsidR="0050097D">
        <w:rPr>
          <w:rFonts w:ascii="Arial" w:hAnsi="Arial" w:cs="Arial"/>
        </w:rPr>
        <w:t xml:space="preserve"> Fall die Kostenstruktur von Einzelpraxen sein. </w:t>
      </w:r>
      <w:r w:rsidR="00BA08EF">
        <w:rPr>
          <w:rFonts w:ascii="Arial" w:hAnsi="Arial" w:cs="Arial"/>
        </w:rPr>
        <w:t xml:space="preserve">Es gibt keinen Grund vorzugeben, dass die Vergütung dreiseitig mit den KVen zu vereinbaren </w:t>
      </w:r>
      <w:r w:rsidR="004B2B0D">
        <w:rPr>
          <w:rFonts w:ascii="Arial" w:hAnsi="Arial" w:cs="Arial"/>
        </w:rPr>
        <w:t>ist</w:t>
      </w:r>
      <w:r w:rsidR="00BA08EF">
        <w:rPr>
          <w:rFonts w:ascii="Arial" w:hAnsi="Arial" w:cs="Arial"/>
        </w:rPr>
        <w:t xml:space="preserve">. </w:t>
      </w:r>
    </w:p>
    <w:p w14:paraId="74DC0EA3" w14:textId="77777777" w:rsidR="0050097D" w:rsidRDefault="0050097D" w:rsidP="008C552E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14:paraId="7B911675" w14:textId="4D45A870" w:rsidR="0056210E" w:rsidRDefault="00F1090D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color w:val="202124"/>
        </w:rPr>
        <w:t xml:space="preserve">Geradezu empörend ist die Absicht, erbrachte Notfallleistungen von </w:t>
      </w:r>
      <w:r w:rsidR="0050097D">
        <w:rPr>
          <w:rFonts w:ascii="Arial" w:hAnsi="Arial" w:cs="Arial"/>
          <w:color w:val="202124"/>
        </w:rPr>
        <w:t>Kliniken</w:t>
      </w:r>
      <w:r w:rsidR="00064681">
        <w:rPr>
          <w:rFonts w:ascii="Arial" w:hAnsi="Arial" w:cs="Arial"/>
          <w:color w:val="202124"/>
        </w:rPr>
        <w:t>, die kein INZ haben</w:t>
      </w:r>
      <w:r w:rsidR="009E792C">
        <w:rPr>
          <w:rFonts w:ascii="Arial" w:hAnsi="Arial" w:cs="Arial"/>
          <w:color w:val="202124"/>
        </w:rPr>
        <w:t>,</w:t>
      </w:r>
      <w:r w:rsidR="00064681">
        <w:rPr>
          <w:rFonts w:ascii="Arial" w:hAnsi="Arial" w:cs="Arial"/>
          <w:color w:val="202124"/>
        </w:rPr>
        <w:t xml:space="preserve"> mit </w:t>
      </w:r>
      <w:r w:rsidR="00064681">
        <w:rPr>
          <w:rFonts w:ascii="Arial" w:hAnsi="Arial" w:cs="Arial"/>
        </w:rPr>
        <w:t xml:space="preserve">50 Prozent </w:t>
      </w:r>
      <w:r>
        <w:rPr>
          <w:rFonts w:ascii="Arial" w:hAnsi="Arial" w:cs="Arial"/>
        </w:rPr>
        <w:t xml:space="preserve">der geltenden Vergütungen abzuspeisen. Ein </w:t>
      </w:r>
      <w:r w:rsidR="0059069E">
        <w:rPr>
          <w:rFonts w:ascii="Arial" w:hAnsi="Arial" w:cs="Arial"/>
        </w:rPr>
        <w:t>„</w:t>
      </w:r>
      <w:r>
        <w:rPr>
          <w:rFonts w:ascii="Arial" w:hAnsi="Arial" w:cs="Arial"/>
        </w:rPr>
        <w:t>blutender, i</w:t>
      </w:r>
      <w:r w:rsidR="00BA08EF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Krankenhaus ankommender Patient</w:t>
      </w:r>
      <w:r w:rsidR="0059069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muss ambulant </w:t>
      </w:r>
      <w:r w:rsidR="005F27B5">
        <w:rPr>
          <w:rFonts w:ascii="Arial" w:hAnsi="Arial" w:cs="Arial"/>
        </w:rPr>
        <w:t>erst</w:t>
      </w:r>
      <w:r>
        <w:rPr>
          <w:rFonts w:ascii="Arial" w:hAnsi="Arial" w:cs="Arial"/>
        </w:rPr>
        <w:t>versorgt werden</w:t>
      </w:r>
      <w:r w:rsidR="00BA08EF">
        <w:rPr>
          <w:rFonts w:ascii="Arial" w:hAnsi="Arial" w:cs="Arial"/>
        </w:rPr>
        <w:t>, auch in Krankenhäusern ohne INZ-Auftrag</w:t>
      </w:r>
      <w:r>
        <w:rPr>
          <w:rFonts w:ascii="Arial" w:hAnsi="Arial" w:cs="Arial"/>
        </w:rPr>
        <w:t>. Die Krankenhäuser als Nothelfer</w:t>
      </w:r>
      <w:r w:rsidR="00737635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einer definitiv nicht </w:t>
      </w:r>
      <w:r w:rsidR="00737635">
        <w:rPr>
          <w:rFonts w:ascii="Arial" w:hAnsi="Arial" w:cs="Arial"/>
        </w:rPr>
        <w:t>ausreichenden</w:t>
      </w:r>
      <w:r>
        <w:rPr>
          <w:rFonts w:ascii="Arial" w:hAnsi="Arial" w:cs="Arial"/>
        </w:rPr>
        <w:t xml:space="preserve"> Vergütung </w:t>
      </w:r>
      <w:r w:rsidR="005F27B5">
        <w:rPr>
          <w:rFonts w:ascii="Arial" w:hAnsi="Arial" w:cs="Arial"/>
        </w:rPr>
        <w:t>ab</w:t>
      </w:r>
      <w:r>
        <w:rPr>
          <w:rFonts w:ascii="Arial" w:hAnsi="Arial" w:cs="Arial"/>
        </w:rPr>
        <w:t>zustrafen</w:t>
      </w:r>
      <w:r w:rsidR="007E00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lässt eine </w:t>
      </w:r>
      <w:r w:rsidR="00BA08EF">
        <w:rPr>
          <w:rFonts w:ascii="Arial" w:hAnsi="Arial" w:cs="Arial"/>
        </w:rPr>
        <w:t xml:space="preserve">befremdliche </w:t>
      </w:r>
      <w:r>
        <w:rPr>
          <w:rFonts w:ascii="Arial" w:hAnsi="Arial" w:cs="Arial"/>
        </w:rPr>
        <w:t xml:space="preserve"> </w:t>
      </w:r>
      <w:r w:rsidR="00065F2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instellung zu den </w:t>
      </w:r>
      <w:r w:rsidR="007E00C8">
        <w:rPr>
          <w:rFonts w:ascii="Arial" w:hAnsi="Arial" w:cs="Arial"/>
        </w:rPr>
        <w:t>Leistungen</w:t>
      </w:r>
      <w:r w:rsidR="00065F2D">
        <w:rPr>
          <w:rFonts w:ascii="Arial" w:hAnsi="Arial" w:cs="Arial"/>
        </w:rPr>
        <w:t xml:space="preserve"> der M</w:t>
      </w:r>
      <w:r w:rsidR="007E00C8">
        <w:rPr>
          <w:rFonts w:ascii="Arial" w:hAnsi="Arial" w:cs="Arial"/>
        </w:rPr>
        <w:t>itarbeiterinnen und Mitarbeiter in den</w:t>
      </w:r>
      <w:r w:rsidR="00065F2D">
        <w:rPr>
          <w:rFonts w:ascii="Arial" w:hAnsi="Arial" w:cs="Arial"/>
        </w:rPr>
        <w:t xml:space="preserve"> Krankenhäusern </w:t>
      </w:r>
      <w:r>
        <w:rPr>
          <w:rFonts w:ascii="Arial" w:hAnsi="Arial" w:cs="Arial"/>
        </w:rPr>
        <w:t xml:space="preserve">erkennen. </w:t>
      </w:r>
      <w:r w:rsidR="00EF0FC9">
        <w:rPr>
          <w:rFonts w:ascii="Arial" w:hAnsi="Arial" w:cs="Arial"/>
        </w:rPr>
        <w:t>Damit würde</w:t>
      </w:r>
      <w:r w:rsidR="00FE1BD8">
        <w:rPr>
          <w:rFonts w:ascii="Arial" w:hAnsi="Arial" w:cs="Arial"/>
        </w:rPr>
        <w:t xml:space="preserve"> sogar</w:t>
      </w:r>
      <w:r w:rsidR="00EF0FC9">
        <w:rPr>
          <w:rFonts w:ascii="Arial" w:hAnsi="Arial" w:cs="Arial"/>
        </w:rPr>
        <w:t xml:space="preserve"> die im Bewertungsausschuss zu Lasten der Krankenhäuser beschlossene Skandalgebühr von 4,74 </w:t>
      </w:r>
      <w:r w:rsidR="004F4681">
        <w:rPr>
          <w:rFonts w:ascii="Arial" w:hAnsi="Arial" w:cs="Arial"/>
        </w:rPr>
        <w:t>Euro</w:t>
      </w:r>
      <w:r w:rsidR="00EF0FC9">
        <w:rPr>
          <w:rFonts w:ascii="Arial" w:hAnsi="Arial" w:cs="Arial"/>
        </w:rPr>
        <w:t xml:space="preserve"> noch einmal um 50 Prozent unterboten. </w:t>
      </w:r>
    </w:p>
    <w:p w14:paraId="44F881F3" w14:textId="77777777" w:rsidR="008F7617" w:rsidRDefault="008F7617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4E67112" w14:textId="0F0F84EF" w:rsidR="008F7617" w:rsidRDefault="008F7617" w:rsidP="008F7617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064681">
        <w:rPr>
          <w:rFonts w:ascii="Arial" w:hAnsi="Arial" w:cs="Arial"/>
        </w:rPr>
        <w:lastRenderedPageBreak/>
        <w:t xml:space="preserve">Grundsätzlich begrüßt die DKG, dass eine qualifizierte Ersteinschätzung </w:t>
      </w:r>
      <w:r w:rsidR="00BA08EF">
        <w:rPr>
          <w:rFonts w:ascii="Arial" w:hAnsi="Arial" w:cs="Arial"/>
        </w:rPr>
        <w:t xml:space="preserve">des Hilfsbedarfs </w:t>
      </w:r>
      <w:r w:rsidRPr="00064681">
        <w:rPr>
          <w:rFonts w:ascii="Arial" w:hAnsi="Arial" w:cs="Arial"/>
        </w:rPr>
        <w:t xml:space="preserve">bereits durch </w:t>
      </w:r>
      <w:r>
        <w:rPr>
          <w:rFonts w:ascii="Arial" w:hAnsi="Arial" w:cs="Arial"/>
        </w:rPr>
        <w:t>G</w:t>
      </w:r>
      <w:r w:rsidRPr="00064681">
        <w:rPr>
          <w:rFonts w:ascii="Arial" w:hAnsi="Arial" w:cs="Arial"/>
        </w:rPr>
        <w:t xml:space="preserve">emeinsame Notfallleitstellen vorgesehen ist. </w:t>
      </w:r>
      <w:r w:rsidR="002D24F9">
        <w:rPr>
          <w:rFonts w:ascii="Arial" w:hAnsi="Arial" w:cs="Arial"/>
        </w:rPr>
        <w:t>Die hier zu leistende Triage und die Anreize für die niedergelassenen Praxen du</w:t>
      </w:r>
      <w:r w:rsidR="004F4681">
        <w:rPr>
          <w:rFonts w:ascii="Arial" w:hAnsi="Arial" w:cs="Arial"/>
        </w:rPr>
        <w:t>r</w:t>
      </w:r>
      <w:r w:rsidR="002D24F9">
        <w:rPr>
          <w:rFonts w:ascii="Arial" w:hAnsi="Arial" w:cs="Arial"/>
        </w:rPr>
        <w:t>ch das TSVG müssen dazu beitragen, dass nur die d</w:t>
      </w:r>
      <w:r w:rsidR="00110BBB">
        <w:rPr>
          <w:rFonts w:ascii="Arial" w:hAnsi="Arial" w:cs="Arial"/>
        </w:rPr>
        <w:t>r</w:t>
      </w:r>
      <w:r w:rsidR="002D24F9">
        <w:rPr>
          <w:rFonts w:ascii="Arial" w:hAnsi="Arial" w:cs="Arial"/>
        </w:rPr>
        <w:t xml:space="preserve">inglichen Notfälle in die Krankenhausambulanzen kommen. </w:t>
      </w:r>
    </w:p>
    <w:p w14:paraId="1ACB103D" w14:textId="77777777" w:rsidR="00065F2D" w:rsidRDefault="00065F2D" w:rsidP="008F7617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6D34F8A7" w14:textId="77777777" w:rsidR="00BA08EF" w:rsidRDefault="00BA08EF" w:rsidP="008F7617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0C9E2996" w14:textId="77777777" w:rsidR="008F7617" w:rsidRPr="009E792C" w:rsidRDefault="008F7617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sectPr w:rsid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02511">
      <w:rPr>
        <w:rFonts w:ascii="Arial" w:hAnsi="Arial" w:cs="Arial"/>
        <w:noProof/>
      </w:rPr>
      <w:t>3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64681"/>
    <w:rsid w:val="00065F2D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0B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D24F9"/>
    <w:rsid w:val="002F1B73"/>
    <w:rsid w:val="002F3405"/>
    <w:rsid w:val="00302511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B7F46"/>
    <w:rsid w:val="003D3A58"/>
    <w:rsid w:val="00400FBE"/>
    <w:rsid w:val="00407552"/>
    <w:rsid w:val="00413F2A"/>
    <w:rsid w:val="00440091"/>
    <w:rsid w:val="00452B50"/>
    <w:rsid w:val="0046608A"/>
    <w:rsid w:val="00482684"/>
    <w:rsid w:val="004915FE"/>
    <w:rsid w:val="004B2B0D"/>
    <w:rsid w:val="004B392D"/>
    <w:rsid w:val="004B5A0A"/>
    <w:rsid w:val="004E40FA"/>
    <w:rsid w:val="004E47E0"/>
    <w:rsid w:val="004F0985"/>
    <w:rsid w:val="004F4681"/>
    <w:rsid w:val="004F46DC"/>
    <w:rsid w:val="0050097D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69E"/>
    <w:rsid w:val="005A4A1E"/>
    <w:rsid w:val="005A6566"/>
    <w:rsid w:val="005B067E"/>
    <w:rsid w:val="005C2BD9"/>
    <w:rsid w:val="005C3D14"/>
    <w:rsid w:val="005D1C55"/>
    <w:rsid w:val="005F27B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D7AFE"/>
    <w:rsid w:val="00700218"/>
    <w:rsid w:val="0070619D"/>
    <w:rsid w:val="00717437"/>
    <w:rsid w:val="00734946"/>
    <w:rsid w:val="00737635"/>
    <w:rsid w:val="00752016"/>
    <w:rsid w:val="007520C0"/>
    <w:rsid w:val="007755F0"/>
    <w:rsid w:val="00785755"/>
    <w:rsid w:val="0078717D"/>
    <w:rsid w:val="00795922"/>
    <w:rsid w:val="007C44FC"/>
    <w:rsid w:val="007E00C8"/>
    <w:rsid w:val="008125E6"/>
    <w:rsid w:val="00835799"/>
    <w:rsid w:val="00850E59"/>
    <w:rsid w:val="008838C6"/>
    <w:rsid w:val="00894E03"/>
    <w:rsid w:val="008B11E4"/>
    <w:rsid w:val="008B2132"/>
    <w:rsid w:val="008B37EB"/>
    <w:rsid w:val="008B7F36"/>
    <w:rsid w:val="008C552E"/>
    <w:rsid w:val="008D015E"/>
    <w:rsid w:val="008E50AB"/>
    <w:rsid w:val="008E5967"/>
    <w:rsid w:val="008F761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792C"/>
    <w:rsid w:val="00A05627"/>
    <w:rsid w:val="00A15341"/>
    <w:rsid w:val="00A24B9D"/>
    <w:rsid w:val="00A41756"/>
    <w:rsid w:val="00A915B8"/>
    <w:rsid w:val="00AA6E35"/>
    <w:rsid w:val="00AC5BCE"/>
    <w:rsid w:val="00AE24DB"/>
    <w:rsid w:val="00B06B18"/>
    <w:rsid w:val="00B1353D"/>
    <w:rsid w:val="00B3343D"/>
    <w:rsid w:val="00B34514"/>
    <w:rsid w:val="00B402F1"/>
    <w:rsid w:val="00B52927"/>
    <w:rsid w:val="00B65874"/>
    <w:rsid w:val="00B7543C"/>
    <w:rsid w:val="00B87286"/>
    <w:rsid w:val="00BA08EF"/>
    <w:rsid w:val="00BB0243"/>
    <w:rsid w:val="00BF222D"/>
    <w:rsid w:val="00BF294B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26603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E25E9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EF0FC9"/>
    <w:rsid w:val="00F1090D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E01F0"/>
    <w:rsid w:val="00FE1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266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6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6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6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6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266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6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6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6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7BAA7-0850-4AEA-8776-EAF9A967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2019-07-25T14:13:00Z</cp:lastPrinted>
  <dcterms:created xsi:type="dcterms:W3CDTF">2019-07-25T14:06:00Z</dcterms:created>
  <dcterms:modified xsi:type="dcterms:W3CDTF">2019-07-26T07:05:00Z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