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3E6114B4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3A2BE6">
        <w:rPr>
          <w:rFonts w:ascii="Arial" w:eastAsia="Times New Roman" w:hAnsi="Arial" w:cs="Times New Roman"/>
          <w:b/>
          <w:szCs w:val="20"/>
          <w:u w:val="single"/>
          <w:lang w:eastAsia="de-DE"/>
        </w:rPr>
        <w:t>m B</w:t>
      </w:r>
      <w:r w:rsidR="001F69C3">
        <w:rPr>
          <w:rFonts w:ascii="Arial" w:eastAsia="Times New Roman" w:hAnsi="Arial" w:cs="Times New Roman"/>
          <w:b/>
          <w:szCs w:val="20"/>
          <w:u w:val="single"/>
          <w:lang w:eastAsia="de-DE"/>
        </w:rPr>
        <w:t>ericht des Bundesrechnungshofes</w:t>
      </w:r>
      <w:r w:rsidR="005517D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 Klinikrechnungen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0106832" w:rsidR="001962FD" w:rsidRPr="001962FD" w:rsidRDefault="003A40B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Kliniken sind Opfer beliebiger Prüfverfahren der Krankenkassen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41082076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E013B4">
        <w:rPr>
          <w:rFonts w:ascii="Arial" w:eastAsia="Times New Roman" w:hAnsi="Arial" w:cs="Arial"/>
          <w:noProof/>
          <w:lang w:eastAsia="de-DE"/>
        </w:rPr>
        <w:t>11. April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3A40B8" w:rsidRPr="003A40B8">
        <w:rPr>
          <w:rFonts w:ascii="Arial" w:eastAsia="Times New Roman" w:hAnsi="Arial" w:cs="Arial"/>
          <w:lang w:eastAsia="de-DE"/>
        </w:rPr>
        <w:t xml:space="preserve">Zur Kritik des Bundesrechnungshofes am Verfahren der Krankenhausrechnungsprüfungen erklärt </w:t>
      </w:r>
      <w:r w:rsidR="001F69C3">
        <w:rPr>
          <w:rFonts w:ascii="Arial" w:eastAsia="Times New Roman" w:hAnsi="Arial" w:cs="Arial"/>
          <w:lang w:eastAsia="de-DE"/>
        </w:rPr>
        <w:t xml:space="preserve">Georg Baum, Hauptgeschäftsführer der Deutschen Krankenhausgesellschaft (DKG): </w:t>
      </w:r>
    </w:p>
    <w:p w14:paraId="4550B188" w14:textId="77777777" w:rsidR="003A40B8" w:rsidRPr="003A40B8" w:rsidRDefault="003A40B8" w:rsidP="003A40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35296CB" w14:textId="77777777" w:rsidR="00CA757A" w:rsidRDefault="003A40B8" w:rsidP="003A40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3A40B8">
        <w:rPr>
          <w:rFonts w:ascii="Arial" w:eastAsia="Times New Roman" w:hAnsi="Arial" w:cs="Arial"/>
          <w:lang w:eastAsia="de-DE"/>
        </w:rPr>
        <w:t xml:space="preserve">Die vom Bundesrechnungshof beklagten pauschalen Kürzungen von Krankenhausrechnungen sind in der Tat Realität. Sie sind das Ergebnis eines asymmetrischen Rechts- und Abhängigkeitsverhältnisses der Krankenhäuser gegenüber den Krankenkassen. Dabei sind die Krankenhäuser in einer systematischen Verliererposition. Denn die Krankenkassen können durch die Einleitung von Rechnungsprüfungen Verrechnungen mit laufenden Leistungen der Krankenhäuser </w:t>
      </w:r>
      <w:r w:rsidR="00CA757A">
        <w:rPr>
          <w:rFonts w:ascii="Arial" w:eastAsia="Times New Roman" w:hAnsi="Arial" w:cs="Arial"/>
          <w:lang w:eastAsia="de-DE"/>
        </w:rPr>
        <w:t xml:space="preserve">beliebig </w:t>
      </w:r>
      <w:r w:rsidRPr="003A40B8">
        <w:rPr>
          <w:rFonts w:ascii="Arial" w:eastAsia="Times New Roman" w:hAnsi="Arial" w:cs="Arial"/>
          <w:lang w:eastAsia="de-DE"/>
        </w:rPr>
        <w:t xml:space="preserve">vornehmen. </w:t>
      </w:r>
      <w:r w:rsidR="005517DA">
        <w:rPr>
          <w:rFonts w:ascii="Arial" w:eastAsia="Times New Roman" w:hAnsi="Arial" w:cs="Arial"/>
          <w:lang w:eastAsia="de-DE"/>
        </w:rPr>
        <w:t>N</w:t>
      </w:r>
      <w:r w:rsidRPr="003A40B8">
        <w:rPr>
          <w:rFonts w:ascii="Arial" w:eastAsia="Times New Roman" w:hAnsi="Arial" w:cs="Arial"/>
          <w:lang w:eastAsia="de-DE"/>
        </w:rPr>
        <w:t xml:space="preserve">icht die Krankenhäuser kaufen sich von Prüfungen frei. Vielmehr handelt es sich um </w:t>
      </w:r>
      <w:r w:rsidR="00CA757A">
        <w:rPr>
          <w:rFonts w:ascii="Arial" w:eastAsia="Times New Roman" w:hAnsi="Arial" w:cs="Arial"/>
          <w:lang w:eastAsia="de-DE"/>
        </w:rPr>
        <w:t>erzwungene</w:t>
      </w:r>
      <w:r w:rsidRPr="003A40B8">
        <w:rPr>
          <w:rFonts w:ascii="Arial" w:eastAsia="Times New Roman" w:hAnsi="Arial" w:cs="Arial"/>
          <w:lang w:eastAsia="de-DE"/>
        </w:rPr>
        <w:t xml:space="preserve"> Rabattverträge zu Gunsten einzelner Krankenkassen. </w:t>
      </w:r>
    </w:p>
    <w:p w14:paraId="5DE6F147" w14:textId="77777777" w:rsidR="00CA757A" w:rsidRDefault="00CA757A" w:rsidP="003A40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3C54523" w14:textId="59996F53" w:rsidR="003A40B8" w:rsidRDefault="003A40B8" w:rsidP="003A40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3A40B8">
        <w:rPr>
          <w:rFonts w:ascii="Arial" w:eastAsia="Times New Roman" w:hAnsi="Arial" w:cs="Arial"/>
          <w:lang w:eastAsia="de-DE"/>
        </w:rPr>
        <w:t>Die Sorge des Bundesrechnungshofes, dass auf diese Weise überhöhte Rechnungen ungeprüft bleiben, ist nicht gerechtfertigt. Die Krankenhäuser haben für überhöhte Rechnun</w:t>
      </w:r>
      <w:r w:rsidR="00CA757A">
        <w:rPr>
          <w:rFonts w:ascii="Arial" w:eastAsia="Times New Roman" w:hAnsi="Arial" w:cs="Arial"/>
          <w:lang w:eastAsia="de-DE"/>
        </w:rPr>
        <w:t xml:space="preserve">gen überhaupt keine Spielräume. </w:t>
      </w:r>
      <w:r w:rsidRPr="003A40B8">
        <w:rPr>
          <w:rFonts w:ascii="Arial" w:eastAsia="Times New Roman" w:hAnsi="Arial" w:cs="Arial"/>
          <w:lang w:eastAsia="de-DE"/>
        </w:rPr>
        <w:t>Der Bundesrechnungshof selbst schreibt in seiner Erklärung</w:t>
      </w:r>
      <w:r>
        <w:rPr>
          <w:rFonts w:ascii="Arial" w:eastAsia="Times New Roman" w:hAnsi="Arial" w:cs="Arial"/>
          <w:lang w:eastAsia="de-DE"/>
        </w:rPr>
        <w:t>:</w:t>
      </w:r>
      <w:r w:rsidR="005517DA">
        <w:rPr>
          <w:rFonts w:ascii="Arial" w:eastAsia="Times New Roman" w:hAnsi="Arial" w:cs="Arial"/>
          <w:lang w:eastAsia="de-DE"/>
        </w:rPr>
        <w:t xml:space="preserve"> ‚</w:t>
      </w:r>
      <w:r w:rsidRPr="003A40B8">
        <w:rPr>
          <w:rFonts w:ascii="Arial" w:eastAsia="Times New Roman" w:hAnsi="Arial" w:cs="Arial"/>
          <w:lang w:eastAsia="de-DE"/>
        </w:rPr>
        <w:t>Das Krankenhausen</w:t>
      </w:r>
      <w:r w:rsidR="00E013B4">
        <w:rPr>
          <w:rFonts w:ascii="Arial" w:eastAsia="Times New Roman" w:hAnsi="Arial" w:cs="Arial"/>
          <w:lang w:eastAsia="de-DE"/>
        </w:rPr>
        <w:t>tgeltgesetz, der Fallpauschalen-K</w:t>
      </w:r>
      <w:bookmarkStart w:id="0" w:name="_GoBack"/>
      <w:bookmarkEnd w:id="0"/>
      <w:r w:rsidRPr="003A40B8">
        <w:rPr>
          <w:rFonts w:ascii="Arial" w:eastAsia="Times New Roman" w:hAnsi="Arial" w:cs="Arial"/>
          <w:lang w:eastAsia="de-DE"/>
        </w:rPr>
        <w:t>atalog und sonstige Abrechnungsbestimmungen lassen für die Vergütung von Krankenhausbeh</w:t>
      </w:r>
      <w:r w:rsidR="005517DA">
        <w:rPr>
          <w:rFonts w:ascii="Arial" w:eastAsia="Times New Roman" w:hAnsi="Arial" w:cs="Arial"/>
          <w:lang w:eastAsia="de-DE"/>
        </w:rPr>
        <w:t>andlungen keine Abweichungen zu‘</w:t>
      </w:r>
      <w:r w:rsidRPr="003A40B8">
        <w:rPr>
          <w:rFonts w:ascii="Arial" w:eastAsia="Times New Roman" w:hAnsi="Arial" w:cs="Arial"/>
          <w:lang w:eastAsia="de-DE"/>
        </w:rPr>
        <w:t xml:space="preserve">. Auch von einer Reduzierung oder zu wenigen Einzelfallprüfungen kann nicht die Rede sein. Die Krankenhäuser </w:t>
      </w:r>
      <w:r w:rsidR="00CA757A">
        <w:rPr>
          <w:rFonts w:ascii="Arial" w:eastAsia="Times New Roman" w:hAnsi="Arial" w:cs="Arial"/>
          <w:lang w:eastAsia="de-DE"/>
        </w:rPr>
        <w:t>werden</w:t>
      </w:r>
      <w:r w:rsidRPr="003A40B8">
        <w:rPr>
          <w:rFonts w:ascii="Arial" w:eastAsia="Times New Roman" w:hAnsi="Arial" w:cs="Arial"/>
          <w:lang w:eastAsia="de-DE"/>
        </w:rPr>
        <w:t xml:space="preserve"> in den letzten Jahren </w:t>
      </w:r>
      <w:r w:rsidR="008A2885">
        <w:rPr>
          <w:rFonts w:ascii="Arial" w:eastAsia="Times New Roman" w:hAnsi="Arial" w:cs="Arial"/>
          <w:lang w:eastAsia="de-DE"/>
        </w:rPr>
        <w:t>von einem</w:t>
      </w:r>
      <w:r w:rsidRPr="003A40B8">
        <w:rPr>
          <w:rFonts w:ascii="Arial" w:eastAsia="Times New Roman" w:hAnsi="Arial" w:cs="Arial"/>
          <w:lang w:eastAsia="de-DE"/>
        </w:rPr>
        <w:t xml:space="preserve"> massiven Anstieg der Einzelfallprüfungen</w:t>
      </w:r>
      <w:r w:rsidR="008A2885">
        <w:rPr>
          <w:rFonts w:ascii="Arial" w:eastAsia="Times New Roman" w:hAnsi="Arial" w:cs="Arial"/>
          <w:lang w:eastAsia="de-DE"/>
        </w:rPr>
        <w:t xml:space="preserve"> heimgesucht</w:t>
      </w:r>
      <w:r w:rsidRPr="003A40B8">
        <w:rPr>
          <w:rFonts w:ascii="Arial" w:eastAsia="Times New Roman" w:hAnsi="Arial" w:cs="Arial"/>
          <w:lang w:eastAsia="de-DE"/>
        </w:rPr>
        <w:t xml:space="preserve">. Diese haben sich längst von der gesetzlichen Vorgabe, dass nur Auffälligkeiten Prüfungen auslösen, </w:t>
      </w:r>
      <w:r w:rsidR="008A2885">
        <w:rPr>
          <w:rFonts w:ascii="Arial" w:eastAsia="Times New Roman" w:hAnsi="Arial" w:cs="Arial"/>
          <w:lang w:eastAsia="de-DE"/>
        </w:rPr>
        <w:t>abgekoppelt</w:t>
      </w:r>
      <w:r w:rsidRPr="003A40B8">
        <w:rPr>
          <w:rFonts w:ascii="Arial" w:eastAsia="Times New Roman" w:hAnsi="Arial" w:cs="Arial"/>
          <w:lang w:eastAsia="de-DE"/>
        </w:rPr>
        <w:t xml:space="preserve">. Inzwischen ist die Einzelfallprüfung </w:t>
      </w:r>
      <w:r w:rsidR="008A2885" w:rsidRPr="003A40B8">
        <w:rPr>
          <w:rFonts w:ascii="Arial" w:eastAsia="Times New Roman" w:hAnsi="Arial" w:cs="Arial"/>
          <w:lang w:eastAsia="de-DE"/>
        </w:rPr>
        <w:t xml:space="preserve">von den Kassen missbräuchlich </w:t>
      </w:r>
      <w:r w:rsidRPr="003A40B8">
        <w:rPr>
          <w:rFonts w:ascii="Arial" w:eastAsia="Times New Roman" w:hAnsi="Arial" w:cs="Arial"/>
          <w:lang w:eastAsia="de-DE"/>
        </w:rPr>
        <w:t xml:space="preserve">zu einer einzelfallunabhängigen Systemprüfung umfunktioniert worden. Gegenstand der Prüfverfahren ist in der Regel </w:t>
      </w:r>
      <w:r w:rsidR="008A2885">
        <w:rPr>
          <w:rFonts w:ascii="Arial" w:eastAsia="Times New Roman" w:hAnsi="Arial" w:cs="Arial"/>
          <w:lang w:eastAsia="de-DE"/>
        </w:rPr>
        <w:t xml:space="preserve">auch </w:t>
      </w:r>
      <w:r w:rsidRPr="003A40B8">
        <w:rPr>
          <w:rFonts w:ascii="Arial" w:eastAsia="Times New Roman" w:hAnsi="Arial" w:cs="Arial"/>
          <w:lang w:eastAsia="de-DE"/>
        </w:rPr>
        <w:t xml:space="preserve">nicht die Qualität der Behandlung und das Wohl des Patienten. Es </w:t>
      </w:r>
      <w:r w:rsidRPr="003A40B8">
        <w:rPr>
          <w:rFonts w:ascii="Arial" w:eastAsia="Times New Roman" w:hAnsi="Arial" w:cs="Arial"/>
          <w:lang w:eastAsia="de-DE"/>
        </w:rPr>
        <w:lastRenderedPageBreak/>
        <w:t xml:space="preserve">geht vielmehr um formale Kriterien, wie die Diskussion über absolut ungerechtfertigte Kürzungen in der Behandlung von geriatrischen Patienten und Schlaganfallpatienten im Herbst des vergangenen Jahres gezeigt hat. </w:t>
      </w:r>
    </w:p>
    <w:p w14:paraId="7507BF08" w14:textId="77777777" w:rsidR="003A40B8" w:rsidRDefault="003A40B8" w:rsidP="003A40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602709" w14:textId="73D8EF4B" w:rsidR="008C552E" w:rsidRPr="003A40B8" w:rsidRDefault="003A40B8" w:rsidP="003A40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3A40B8">
        <w:rPr>
          <w:rFonts w:ascii="Arial" w:eastAsia="Times New Roman" w:hAnsi="Arial" w:cs="Arial"/>
          <w:lang w:eastAsia="de-DE"/>
        </w:rPr>
        <w:t>Die DKG appelliert an die Koalitionsfraktion, die angekündigte Reform des Prüfverfahrens im Krankenhausbereich schnell anzugehen und dabei insbesondere dem Recht der Krankenkassen auf</w:t>
      </w:r>
      <w:r w:rsidR="00E013B4">
        <w:rPr>
          <w:rFonts w:ascii="Arial" w:eastAsia="Times New Roman" w:hAnsi="Arial" w:cs="Arial"/>
          <w:lang w:eastAsia="de-DE"/>
        </w:rPr>
        <w:t xml:space="preserve"> Verrechnung in Frage gestellter</w:t>
      </w:r>
      <w:r w:rsidRPr="003A40B8">
        <w:rPr>
          <w:rFonts w:ascii="Arial" w:eastAsia="Times New Roman" w:hAnsi="Arial" w:cs="Arial"/>
          <w:lang w:eastAsia="de-DE"/>
        </w:rPr>
        <w:t xml:space="preserve"> Rechnungen einen Riegel vorzuschieben und zugleich die Einzelfallprüfungen, die das Gesetz vorsieht, so zu konkretisieren</w:t>
      </w:r>
      <w:r w:rsidR="00E013B4">
        <w:rPr>
          <w:rFonts w:ascii="Arial" w:eastAsia="Times New Roman" w:hAnsi="Arial" w:cs="Arial"/>
          <w:lang w:eastAsia="de-DE"/>
        </w:rPr>
        <w:t xml:space="preserve"> und zu begrenzen</w:t>
      </w:r>
      <w:r w:rsidRPr="003A40B8">
        <w:rPr>
          <w:rFonts w:ascii="Arial" w:eastAsia="Times New Roman" w:hAnsi="Arial" w:cs="Arial"/>
          <w:lang w:eastAsia="de-DE"/>
        </w:rPr>
        <w:t>, dass tatsächlich nur Auffälligkeiten geprüft werden.</w:t>
      </w:r>
      <w:r w:rsidR="008A2885">
        <w:rPr>
          <w:rFonts w:ascii="Arial" w:eastAsia="Times New Roman" w:hAnsi="Arial" w:cs="Arial"/>
          <w:lang w:eastAsia="de-DE"/>
        </w:rPr>
        <w:t xml:space="preserve"> Zudem muss der MDK in eine von den Krankenkassen unabhängige Prüfinstanz überführt werden.</w:t>
      </w:r>
      <w:r>
        <w:rPr>
          <w:rFonts w:ascii="Arial" w:eastAsia="Times New Roman" w:hAnsi="Arial" w:cs="Arial"/>
          <w:lang w:eastAsia="de-DE"/>
        </w:rPr>
        <w:t>“</w:t>
      </w: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1041839C" w14:textId="77777777" w:rsidR="005517DA" w:rsidRPr="00633E3A" w:rsidRDefault="005517DA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Dr. Jörn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013B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F69C3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2BE6"/>
    <w:rsid w:val="003A40B8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17DA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0DAD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A2885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A757A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013B4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FE406-6AE6-4496-9714-FA83EB4E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6</cp:revision>
  <cp:lastPrinted>2019-04-11T08:00:00Z</cp:lastPrinted>
  <dcterms:created xsi:type="dcterms:W3CDTF">2019-04-10T14:36:00Z</dcterms:created>
  <dcterms:modified xsi:type="dcterms:W3CDTF">2019-04-11T08:06:00Z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