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9" behindDoc="0" locked="0" layoutInCell="1" allowOverlap="1">
            <wp:simplePos x="0" y="0"/>
            <wp:positionH relativeFrom="page">
              <wp:posOffset>5292090</wp:posOffset>
            </wp:positionH>
            <wp:positionV relativeFrom="paragraph">
              <wp:posOffset>49277</wp:posOffset>
            </wp:positionV>
            <wp:extent cx="1548625" cy="569976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48625" cy="569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543"/>
        </w:tabs>
        <w:spacing w:before="0" w:after="0" w:line="240" w:lineRule="auto"/>
        <w:ind w:left="898" w:right="0" w:firstLine="0"/>
      </w:pPr>
      <w:r/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Pressemitteilung</w:t>
      </w:r>
      <w:r>
        <w:rPr sz="26" baseline="0" dirty="0">
          <w:jc w:val="left"/>
          <w:rFonts w:ascii="Arial" w:hAnsi="Arial" w:cs="Arial"/>
          <w:b/>
          <w:bCs/>
          <w:color w:val="000000"/>
          <w:spacing w:val="22"/>
          <w:sz w:val="26"/>
          <w:szCs w:val="26"/>
        </w:rPr>
        <w:t> 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(Sperrfrist: 19.12.2018, 12 Uhr) 	   </w:t>
      </w:r>
      <w:r>
        <w:rPr sz="24" baseline="0" dirty="0">
          <w:jc w:val="left"/>
          <w:rFonts w:ascii="Cambria" w:hAnsi="Cambria" w:cs="Cambria"/>
          <w:b/>
          <w:bCs/>
          <w:color w:val="000000"/>
          <w:spacing w:val="10254"/>
          <w:sz w:val="24"/>
          <w:szCs w:val="24"/>
        </w:rPr>
        <w:t> 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8" w:lineRule="exact"/>
        <w:ind w:left="898" w:right="1357" w:firstLine="0"/>
      </w:pPr>
      <w:r/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Einheitliche elektronische Patientenakte für das deutsche  </w:t>
      </w:r>
      <w:r>
        <w:br w:type="textWrapping" w:clear="all"/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Gesundheitss</w:t>
      </w:r>
      <w:r>
        <w:rPr sz="26" baseline="0" dirty="0">
          <w:jc w:val="left"/>
          <w:rFonts w:ascii="Arial" w:hAnsi="Arial" w:cs="Arial"/>
          <w:b/>
          <w:bCs/>
          <w:color w:val="000000"/>
          <w:spacing w:val="-2"/>
          <w:sz w:val="26"/>
          <w:szCs w:val="26"/>
        </w:rPr>
        <w:t>y</w:t>
      </w:r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stem  </w:t>
      </w:r>
    </w:p>
    <w:p>
      <w:pPr>
        <w:rPr>
          <w:rFonts w:ascii="Times New Roman" w:hAnsi="Times New Roman" w:cs="Times New Roman"/>
          <w:color w:val="010302"/>
        </w:rPr>
        <w:spacing w:before="248" w:after="0" w:line="240" w:lineRule="auto"/>
        <w:ind w:left="898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gematik veröffentlicht Vorgaben zur bundesweiten elektronischen Patientenakte   </w:t>
      </w:r>
    </w:p>
    <w:p>
      <w:pPr>
        <w:rPr>
          <w:rFonts w:ascii="Times New Roman" w:hAnsi="Times New Roman" w:cs="Times New Roman"/>
          <w:color w:val="010302"/>
        </w:rPr>
        <w:spacing w:before="143" w:after="0" w:line="379" w:lineRule="exact"/>
        <w:ind w:left="898" w:right="135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Berlin, 19.12.2018 – Mit Beschluss der Gesellschafter hat die gematik die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Spezifikationen, Zulassungsverfahren und Feldtestkonzepte für die Komponenten und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Dienste zur elektronischen Patientenakte veröffentlicht.  </w:t>
      </w:r>
    </w:p>
    <w:p>
      <w:pPr>
        <w:rPr>
          <w:rFonts w:ascii="Times New Roman" w:hAnsi="Times New Roman" w:cs="Times New Roman"/>
          <w:color w:val="010302"/>
        </w:rPr>
        <w:spacing w:before="143" w:after="0" w:line="379" w:lineRule="exact"/>
        <w:ind w:left="898" w:right="135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Das veröffentlichte Dokumentenpaket ist das Ergebnis der Zusammenarbeit der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Selbstverwaltung des Gesundheitswesens und in Abstimmung mit dem Bundesamt für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Sicherheit in der Informationstechnik (BSI) und der Bundesbeauftragten für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Datenschutz und Informationsfreiheit (BfDI) entwickelt worden.  </w:t>
      </w:r>
    </w:p>
    <w:p>
      <w:pPr>
        <w:rPr>
          <w:rFonts w:ascii="Times New Roman" w:hAnsi="Times New Roman" w:cs="Times New Roman"/>
          <w:color w:val="010302"/>
        </w:rPr>
        <w:spacing w:before="143" w:after="0" w:line="379" w:lineRule="exact"/>
        <w:ind w:left="898" w:right="135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Gemäß dem Gesetz dient die elektronische Patientenakte der Verbesserung von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Qualität, Transparenz und Wirtschaftlichkeit der Behandlung. „Die von der gematik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konzipierte elektronische Patientenakte soll die Versorgung verbessern und erleichtern.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Das ist im Interesse sowohl der Patientinnen und Patienten als auch der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Leistungserbringer und Krankenkassen“, so Dr. Doris Pfeiffer, Vorstandsvorsitzende  </w:t>
      </w:r>
    </w:p>
    <w:p>
      <w:pPr>
        <w:rPr>
          <w:rFonts w:ascii="Times New Roman" w:hAnsi="Times New Roman" w:cs="Times New Roman"/>
          <w:color w:val="010302"/>
        </w:rPr>
        <w:spacing w:before="0" w:after="0" w:line="379" w:lineRule="exact"/>
        <w:ind w:left="898" w:right="135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des GKV-Spitzenverbandes und Vorsitzende der Gesellschafterversammlung der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gematik.  </w:t>
      </w:r>
    </w:p>
    <w:p>
      <w:pPr>
        <w:rPr>
          <w:rFonts w:ascii="Times New Roman" w:hAnsi="Times New Roman" w:cs="Times New Roman"/>
          <w:color w:val="010302"/>
        </w:rPr>
        <w:spacing w:before="143" w:after="0" w:line="379" w:lineRule="exact"/>
        <w:ind w:left="898" w:right="135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Dr. Thomas Kriedel, Vorstandsmitglied der Kassenärztlichen Bundesvereinigung und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stellvertretender Vorsitzender der Gesellschafterversammlung, resümiert: „Die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Aktenanbieter können nun bei der Entwicklung ihrer Lösungen auf eine interoperable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Systemarchitektur mit festgelegten Schnittstellen setzen.“  </w:t>
      </w:r>
    </w:p>
    <w:p>
      <w:pPr>
        <w:rPr>
          <w:rFonts w:ascii="Times New Roman" w:hAnsi="Times New Roman" w:cs="Times New Roman"/>
          <w:color w:val="010302"/>
        </w:rPr>
        <w:spacing w:before="142" w:after="0" w:line="380" w:lineRule="exact"/>
        <w:ind w:left="898" w:right="135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Als Fachanwendung der bundesweit verfügbaren und sicheren Telematikinfrastruktur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steht die elektronische Patientenakte einrichtungs- und sektorenübergreifend  </w:t>
      </w:r>
    </w:p>
    <w:p>
      <w:pPr>
        <w:rPr>
          <w:rFonts w:ascii="Times New Roman" w:hAnsi="Times New Roman" w:cs="Times New Roman"/>
          <w:color w:val="010302"/>
        </w:rPr>
        <w:spacing w:before="0" w:after="0" w:line="379" w:lineRule="exact"/>
        <w:ind w:left="898" w:right="135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lebenslang zur Verfügung, sofern der Versicherte dies wünscht. „Die Hoheit über die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Daten liegt vollständig beim Versicherten. Er allein entscheidet darüber, wem er welche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medizinischen Dokumente zur Verfügung stellen möchte, wer diese einstellen darf oder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welche gelöscht werden“, betont Alexander Beyer, Geschäftsführer der gematik.  </w:t>
      </w:r>
    </w:p>
    <w:p>
      <w:pPr>
        <w:rPr>
          <w:rFonts w:ascii="Times New Roman" w:hAnsi="Times New Roman" w:cs="Times New Roman"/>
          <w:color w:val="010302"/>
        </w:rPr>
        <w:spacing w:before="143" w:after="0" w:line="379" w:lineRule="exact"/>
        <w:ind w:left="898" w:right="135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Die gematik stellt sicher, dass alle zugelassenen Komponenten und Dienste zur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elektronischen Patientenakte interoperabel sind. „So können gesetzlich Versicherte,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die eine elektronische Patientenakte nutzen möchten, auch frei zwischen Anbietern  </w:t>
      </w:r>
    </w:p>
    <w:p>
      <w:pPr>
        <w:spacing w:after="1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620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881633</wp:posOffset>
            </wp:positionH>
            <wp:positionV relativeFrom="paragraph">
              <wp:posOffset>-46200</wp:posOffset>
            </wp:positionV>
            <wp:extent cx="5487924" cy="6096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87924" cy="6096"/>
                    </a:xfrm>
                    <a:custGeom>
                      <a:rect l="l" t="t" r="r" b="b"/>
                      <a:pathLst>
                        <a:path w="5487924" h="6096">
                          <a:moveTo>
                            <a:pt x="0" y="6096"/>
                          </a:moveTo>
                          <a:lnTo>
                            <a:pt x="5487924" y="6096"/>
                          </a:lnTo>
                          <a:lnTo>
                            <a:pt x="5487924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1010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Seite 1 von 3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79" w:lineRule="exact"/>
        <w:ind w:left="898" w:right="1469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wählen und im Rahmen eines Anbieterwechsels alle Akten-Inhalte, inklusive der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Metadaten, Protokolle und Zugriffsberechtigungen, vollständig auf den neuen Anbieter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übertragen lassen“, unterstreicht Beyer. „Und Leistungserbringer können über ihr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Primärsystem mit jeder Akte arbeiten, unabhängig vom jeweiligen Anbieter. Der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Versicherte muss den Leistungserbringer lediglich dafür zuvor berechtigt haben.“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Hintergrund  </w:t>
      </w:r>
    </w:p>
    <w:p>
      <w:pPr>
        <w:rPr>
          <w:rFonts w:ascii="Times New Roman" w:hAnsi="Times New Roman" w:cs="Times New Roman"/>
          <w:color w:val="010302"/>
        </w:rPr>
        <w:spacing w:before="143" w:after="0" w:line="379" w:lineRule="exact"/>
        <w:ind w:left="898" w:right="1357" w:firstLine="0"/>
        <w:jc w:val="both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Der Gesetzgeber hat die elektronische Patientenakte als wesentliche Fachanwendung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der Telematikinfrastruktur festgeschrieben. Nach Paragraf 291a SGB V (Fünftes Buch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Sozialgesetzbuch) hat die gematik die notwendigen Spezifikationen,  </w:t>
      </w:r>
    </w:p>
    <w:p>
      <w:pPr>
        <w:rPr>
          <w:rFonts w:ascii="Times New Roman" w:hAnsi="Times New Roman" w:cs="Times New Roman"/>
          <w:color w:val="010302"/>
        </w:rPr>
        <w:spacing w:before="0" w:after="0" w:line="379" w:lineRule="exact"/>
        <w:ind w:left="898" w:right="135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Zulassungsverfahren und Feldtestkonzepte für die elektronische Patientenakte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festzulegen und bis zum 31. Dezember 2018 zu veröffentlichen.   </w:t>
      </w:r>
    </w:p>
    <w:p>
      <w:pPr>
        <w:rPr>
          <w:rFonts w:ascii="Times New Roman" w:hAnsi="Times New Roman" w:cs="Times New Roman"/>
          <w:color w:val="010302"/>
        </w:rPr>
        <w:spacing w:before="143" w:after="0" w:line="379" w:lineRule="exact"/>
        <w:ind w:left="898" w:right="135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Die Fachanwendung elektronische Patientenakte (ePA) besteht aus den folgenden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Komponenten und Diensten: „ePA-Aktensysteme“ (Backend), „Konnektoren mit ePA-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Fachmodulen“, „ePA-Frontend für Versicherte“ und „Primärsysteme“ (für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Leistungserbringer), die für die elektronische Patientenakte entwickelt oder angepasst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werden. Entsprechend stellt die gematik für alle diese Komponenten und Dienste die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Festlegungen, Implementierungsleitfäden sowie Zulassungs- bzw.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Bestätigungsverfahren im </w:t>
      </w:r>
      <w:r>
        <w:rPr sz="22" baseline="0" dirty="0">
          <w:jc w:val="left"/>
          <w:rFonts w:ascii="Arial" w:hAnsi="Arial" w:cs="Arial"/>
          <w:u w:val="single"/>
          <w:color w:val="4436B4"/>
          <w:sz w:val="22"/>
          <w:szCs w:val="22"/>
        </w:rPr>
        <w:t>Fachportal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bereit.  </w:t>
      </w:r>
    </w:p>
    <w:p>
      <w:pPr>
        <w:rPr>
          <w:rFonts w:ascii="Times New Roman" w:hAnsi="Times New Roman" w:cs="Times New Roman"/>
          <w:color w:val="010302"/>
        </w:rPr>
        <w:spacing w:before="143" w:after="0" w:line="379" w:lineRule="exact"/>
        <w:ind w:left="898" w:right="135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Anhand dieser Dokumente können Hersteller ihre jeweiligen Produkte implementieren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und eine Zulassung bei der gematik beantragen. Für eine Zulassung der gematik muss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der jeweilige Antragsteller nachweisen, dass seine Komponente bzw. sein Dienst zur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elektronischen Patientenakte die in den Spezifikationen enthaltenen Anforderungen an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die Funktionalität, Interoperabilität und Sicherheit erfüllt.   </w:t>
      </w:r>
    </w:p>
    <w:p>
      <w:pPr>
        <w:rPr>
          <w:rFonts w:ascii="Times New Roman" w:hAnsi="Times New Roman" w:cs="Times New Roman"/>
          <w:color w:val="010302"/>
        </w:rPr>
        <w:spacing w:before="142" w:after="0" w:line="380" w:lineRule="exact"/>
        <w:ind w:left="898" w:right="135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Die Festlegungen der gematik berücksichtigen dabei bereits in wesentlichen Teilen den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Gesetzentwurf zum Terminservice- und Versorgungsgesetz (TSVG). Die in dem  </w:t>
      </w:r>
    </w:p>
    <w:p>
      <w:pPr>
        <w:rPr>
          <w:rFonts w:ascii="Times New Roman" w:hAnsi="Times New Roman" w:cs="Times New Roman"/>
          <w:color w:val="010302"/>
        </w:rPr>
        <w:spacing w:before="0" w:after="0" w:line="379" w:lineRule="exact"/>
        <w:ind w:left="898" w:right="135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Entwurf geforderte alternative Authentisierungs-Option für die Versicherten, die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besonders den Zugang mit mobilen Endgeräten vereinfachen soll, und die Möglichkeit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zum Transfer von Krankenkassendaten in die elektronische Patientenakte des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Versicherten werden nachgelagert in der Folgestufe 1.1 der elektronischen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Patientenakte umgesetzt. Laut Gesetzentwurf soll das TSVG voraussichtlich im  </w:t>
      </w:r>
    </w:p>
    <w:p>
      <w:pPr>
        <w:rPr>
          <w:rFonts w:ascii="Times New Roman" w:hAnsi="Times New Roman" w:cs="Times New Roman"/>
          <w:color w:val="010302"/>
        </w:rPr>
        <w:spacing w:before="0" w:after="0" w:line="379" w:lineRule="exact"/>
        <w:ind w:left="898" w:right="1357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Frühjahr 2019 in Kraft treten. Parallel soll ebenfalls die Veröffentlichung der Stufe 1.1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erfolgen.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620" w:right="0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881633</wp:posOffset>
            </wp:positionH>
            <wp:positionV relativeFrom="paragraph">
              <wp:posOffset>-46200</wp:posOffset>
            </wp:positionV>
            <wp:extent cx="5487924" cy="609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87924" cy="6096"/>
                    </a:xfrm>
                    <a:custGeom>
                      <a:rect l="l" t="t" r="r" b="b"/>
                      <a:pathLst>
                        <a:path w="5487924" h="6096">
                          <a:moveTo>
                            <a:pt x="0" y="6096"/>
                          </a:moveTo>
                          <a:lnTo>
                            <a:pt x="5487924" y="6096"/>
                          </a:lnTo>
                          <a:lnTo>
                            <a:pt x="5487924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1010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Seite 2 von 3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3" behindDoc="0" locked="0" layoutInCell="1" allowOverlap="1">
            <wp:simplePos x="0" y="0"/>
            <wp:positionH relativeFrom="page">
              <wp:posOffset>881633</wp:posOffset>
            </wp:positionH>
            <wp:positionV relativeFrom="page">
              <wp:posOffset>9984741</wp:posOffset>
            </wp:positionV>
            <wp:extent cx="5487924" cy="609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87924" cy="6096"/>
                    </a:xfrm>
                    <a:custGeom>
                      <a:rect l="l" t="t" r="r" b="b"/>
                      <a:pathLst>
                        <a:path w="5487924" h="6096">
                          <a:moveTo>
                            <a:pt x="0" y="6096"/>
                          </a:moveTo>
                          <a:lnTo>
                            <a:pt x="5487924" y="6096"/>
                          </a:lnTo>
                          <a:lnTo>
                            <a:pt x="5487924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1010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79" w:lineRule="exact"/>
        <w:ind w:left="898" w:right="147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Die Hersteller können bereits jetzt einen Zulassungsantrag bei der gematik stellen, mit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der Umsetzung der elektronischen Patientenakte in Stufe 1.0 beginnen und die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Spezifikationserweiterungen der Stufe 1.1 in ihre laufende Implementierung einfließen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lassen.   </w:t>
      </w:r>
    </w:p>
    <w:p>
      <w:pPr>
        <w:rPr>
          <w:rFonts w:ascii="Times New Roman" w:hAnsi="Times New Roman" w:cs="Times New Roman"/>
          <w:color w:val="010302"/>
        </w:rPr>
        <w:spacing w:before="143" w:after="0" w:line="379" w:lineRule="exact"/>
        <w:ind w:left="898" w:right="147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Nach dem Gesetzentwurf zum TSVG werden die gesetzlichen Krankenkassen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verpflichtet, ihren Versicherten spätestens ab dem 1. Januar 2021 eine von der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gematik zugelassene elektronische Patientenakte zur Verfügung zu stellen.  </w:t>
      </w:r>
    </w:p>
    <w:p>
      <w:pPr>
        <w:rPr>
          <w:rFonts w:ascii="Times New Roman" w:hAnsi="Times New Roman" w:cs="Times New Roman"/>
          <w:color w:val="010302"/>
        </w:rPr>
        <w:spacing w:before="143" w:after="0" w:line="379" w:lineRule="exact"/>
        <w:ind w:left="898" w:right="147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Die gematik wird dabei die Hersteller bei der Implementierung der Spezifikationen 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beratend unterstützen.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6" baseline="0" dirty="0">
          <w:jc w:val="left"/>
          <w:rFonts w:ascii="Arial" w:hAnsi="Arial" w:cs="Arial"/>
          <w:b/>
          <w:bCs/>
          <w:color w:val="000000"/>
          <w:sz w:val="26"/>
          <w:szCs w:val="26"/>
        </w:rPr>
        <w:t>Kontakt  </w:t>
      </w:r>
    </w:p>
    <w:p>
      <w:pPr>
        <w:rPr>
          <w:rFonts w:ascii="Times New Roman" w:hAnsi="Times New Roman" w:cs="Times New Roman"/>
          <w:color w:val="010302"/>
        </w:rPr>
        <w:spacing w:before="248" w:after="0" w:line="240" w:lineRule="auto"/>
        <w:ind w:left="898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Pressestelle der gematik, Telefon: +49 30 40041-441, E-Mail: </w:t>
      </w:r>
      <w:hyperlink r:id="rId104" w:history="1">
        <w:r>
          <w:rPr sz="22" baseline="0" dirty="0">
            <w:jc w:val="left"/>
            <w:rFonts w:ascii="Arial" w:hAnsi="Arial" w:cs="Arial"/>
            <w:color w:val="000000"/>
            <w:sz w:val="22"/>
            <w:szCs w:val="22"/>
          </w:rPr>
          <w:t>presse@gematik.de</w:t>
        </w:r>
      </w:hyperlink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8620" w:right="0" w:firstLine="0"/>
      </w:pPr>
      <w:r>
        <w:drawing>
          <wp:anchor simplePos="0" relativeHeight="251658243" behindDoc="0" locked="0" layoutInCell="1" allowOverlap="1">
            <wp:simplePos x="0" y="0"/>
            <wp:positionH relativeFrom="page">
              <wp:posOffset>881633</wp:posOffset>
            </wp:positionH>
            <wp:positionV relativeFrom="paragraph">
              <wp:posOffset>-46200</wp:posOffset>
            </wp:positionV>
            <wp:extent cx="5487924" cy="609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87924" cy="6096"/>
                    </a:xfrm>
                    <a:custGeom>
                      <a:rect l="l" t="t" r="r" b="b"/>
                      <a:pathLst>
                        <a:path w="5487924" h="6096">
                          <a:moveTo>
                            <a:pt x="0" y="6096"/>
                          </a:moveTo>
                          <a:lnTo>
                            <a:pt x="5487924" y="6096"/>
                          </a:lnTo>
                          <a:lnTo>
                            <a:pt x="5487924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10101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Arial" w:hAnsi="Arial" w:cs="Arial"/>
          <w:color w:val="000000"/>
          <w:sz w:val="16"/>
          <w:szCs w:val="16"/>
        </w:rPr>
        <w:t>Seite 3 von 3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14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4" Type="http://schemas.openxmlformats.org/officeDocument/2006/relationships/hyperlink" TargetMode="External" Target="mailto:presse@gematik.d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2018-12-19T11:07:00Z</dcterms:created>
  <dcterms:modified xsi:type="dcterms:W3CDTF">2018-12-19T11:07:00Z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