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B4E8388"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7F7A49B6"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D61DA">
        <w:rPr>
          <w:rFonts w:asciiTheme="majorHAnsi" w:eastAsia="Times New Roman" w:hAnsiTheme="majorHAnsi" w:cstheme="majorHAnsi"/>
          <w:b/>
          <w:szCs w:val="20"/>
          <w:u w:val="single"/>
          <w:lang w:eastAsia="de-DE"/>
        </w:rPr>
        <w:t>m Krankenhaus-Index</w:t>
      </w:r>
    </w:p>
    <w:p w14:paraId="1CA3406A" w14:textId="7719BE80"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0C1D02">
        <w:rPr>
          <w:rFonts w:asciiTheme="majorHAnsi" w:hAnsiTheme="majorHAnsi" w:cstheme="majorHAnsi"/>
          <w:b/>
          <w:sz w:val="32"/>
          <w:szCs w:val="32"/>
        </w:rPr>
        <w:t xml:space="preserve">Kliniken glauben nicht an den Erfolg </w:t>
      </w:r>
      <w:r w:rsidR="00B63E44">
        <w:rPr>
          <w:rFonts w:asciiTheme="majorHAnsi" w:hAnsiTheme="majorHAnsi" w:cstheme="majorHAnsi"/>
          <w:b/>
          <w:sz w:val="32"/>
          <w:szCs w:val="32"/>
        </w:rPr>
        <w:t>von</w:t>
      </w:r>
      <w:r w:rsidR="000C1D02">
        <w:rPr>
          <w:rFonts w:asciiTheme="majorHAnsi" w:hAnsiTheme="majorHAnsi" w:cstheme="majorHAnsi"/>
          <w:b/>
          <w:sz w:val="32"/>
          <w:szCs w:val="32"/>
        </w:rPr>
        <w:t xml:space="preserve"> </w:t>
      </w:r>
      <w:r w:rsidR="00FD61DA">
        <w:rPr>
          <w:rFonts w:asciiTheme="majorHAnsi" w:hAnsiTheme="majorHAnsi" w:cstheme="majorHAnsi"/>
          <w:b/>
          <w:sz w:val="32"/>
          <w:szCs w:val="32"/>
        </w:rPr>
        <w:t xml:space="preserve">Lauterbachs Reform </w:t>
      </w:r>
      <w:r w:rsidRPr="00C91D2F">
        <w:rPr>
          <w:rFonts w:asciiTheme="majorHAnsi" w:hAnsiTheme="majorHAnsi" w:cstheme="majorHAnsi"/>
          <w:b/>
          <w:sz w:val="32"/>
          <w:szCs w:val="32"/>
        </w:rPr>
        <w:br/>
      </w:r>
    </w:p>
    <w:p w14:paraId="1600F54B" w14:textId="20A81A02" w:rsidR="00C4455B" w:rsidRDefault="00D30167" w:rsidP="00205686">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A205BF">
        <w:rPr>
          <w:rFonts w:ascii="Calibri" w:eastAsia="Times New Roman" w:hAnsi="Calibri" w:cs="Calibri"/>
          <w:noProof/>
          <w:lang w:eastAsia="de-DE"/>
        </w:rPr>
        <w:t>26. September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C4455B">
        <w:rPr>
          <w:rFonts w:ascii="Calibri" w:eastAsia="Times New Roman" w:hAnsi="Calibri" w:cs="Calibri"/>
          <w:bCs/>
          <w:lang w:eastAsia="de-DE"/>
        </w:rPr>
        <w:t xml:space="preserve">Die deutschen Krankenhäuser blicken nach wie vor äußerst skeptisch und pessimistisch auf die möglichen Auswirkungen der Krankenhausreform. Das ist das Ergebnis der diesjährigen Sommerumfrage </w:t>
      </w:r>
      <w:r w:rsidR="007B6818">
        <w:rPr>
          <w:rFonts w:ascii="Calibri" w:eastAsia="Times New Roman" w:hAnsi="Calibri" w:cs="Calibri"/>
          <w:bCs/>
          <w:lang w:eastAsia="de-DE"/>
        </w:rPr>
        <w:t xml:space="preserve">des </w:t>
      </w:r>
      <w:r w:rsidR="00C4455B">
        <w:rPr>
          <w:rFonts w:ascii="Calibri" w:eastAsia="Times New Roman" w:hAnsi="Calibri" w:cs="Calibri"/>
          <w:bCs/>
          <w:lang w:eastAsia="de-DE"/>
        </w:rPr>
        <w:t>Deutschen Krankenhausinstitut</w:t>
      </w:r>
      <w:r w:rsidR="007B6818">
        <w:rPr>
          <w:rFonts w:ascii="Calibri" w:eastAsia="Times New Roman" w:hAnsi="Calibri" w:cs="Calibri"/>
          <w:bCs/>
          <w:lang w:eastAsia="de-DE"/>
        </w:rPr>
        <w:t>s</w:t>
      </w:r>
      <w:r w:rsidR="00C4455B">
        <w:rPr>
          <w:rFonts w:ascii="Calibri" w:eastAsia="Times New Roman" w:hAnsi="Calibri" w:cs="Calibri"/>
          <w:bCs/>
          <w:lang w:eastAsia="de-DE"/>
        </w:rPr>
        <w:t xml:space="preserve"> (DKI) für den Krankenhaus-Index. Repräsentativ befragt wurden 358 Krankenhäuser in ganz Deutschland. </w:t>
      </w:r>
      <w:r w:rsidR="007B22A4">
        <w:rPr>
          <w:rFonts w:ascii="Calibri" w:eastAsia="Times New Roman" w:hAnsi="Calibri" w:cs="Calibri"/>
          <w:bCs/>
          <w:lang w:eastAsia="de-DE"/>
        </w:rPr>
        <w:t>So gehen 71 Prozent der Kliniken davon aus, dass der wirtschaftliche Druck nicht wie von Bundesgesundheitsminister Lauterbach angekündigt sinken, sondern vielmehr steigen wird. 95 Prozent erwarten, dass die geplante Vorhaltefinanzierung bei stagnieren</w:t>
      </w:r>
      <w:r w:rsidR="0026042D">
        <w:rPr>
          <w:rFonts w:ascii="Calibri" w:eastAsia="Times New Roman" w:hAnsi="Calibri" w:cs="Calibri"/>
          <w:bCs/>
          <w:lang w:eastAsia="de-DE"/>
        </w:rPr>
        <w:t>den</w:t>
      </w:r>
      <w:r w:rsidR="007B22A4">
        <w:rPr>
          <w:rFonts w:ascii="Calibri" w:eastAsia="Times New Roman" w:hAnsi="Calibri" w:cs="Calibri"/>
          <w:bCs/>
          <w:lang w:eastAsia="de-DE"/>
        </w:rPr>
        <w:t xml:space="preserve"> oder sinkenden Fallzahlen nicht ausreichend sein wird. Noch pessimistischer sind die Erwartungen an die allgemeine Finanzierungslage der Kliniken: 100 Prozent der Maximalversorger erwarten, dass die Finanzierung nicht auskömmlich sein wird, bei den Grundversorgern sind es noch immer 98 Prozent. Zu den Ergebnissen der Umfrage erklärt der Vorstandsvorsitzende der Deutschen Krankenhausgesellschaft Dr. Gerald Gaß:</w:t>
      </w:r>
    </w:p>
    <w:p w14:paraId="25C7C1A4" w14:textId="02DE1F9B" w:rsidR="00E954F8" w:rsidRDefault="0060059D" w:rsidP="00205686">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„Die Krankenhäuser benötigen Planungssicherheit, das zeigen überdeutlich die Umfrageergebnisse. Das muss auch Minister Lauterbach klarwerden. Wenn praktisch alle Krankenhäuser kein Vertrauen mehr in die Finanzierungspläne der Reform haben, muss er umsteuern. Jetzt gilt es, wesentliche Punkte durchzusetzen um die Krankenhausversorgung zu sichern und zu stabilisieren: Wir müssen den Rahmen der NRW-Krankenhausplanung bundesweit umsetzen statt neue Leistungsgruppen zu schaffen und die Personal- und Strukturvorgaben zu verschärfen. </w:t>
      </w:r>
      <w:r w:rsidR="00E954F8">
        <w:rPr>
          <w:rFonts w:ascii="Calibri" w:eastAsia="Times New Roman" w:hAnsi="Calibri" w:cs="Calibri"/>
          <w:bCs/>
          <w:lang w:eastAsia="de-DE"/>
        </w:rPr>
        <w:t xml:space="preserve">Zwar wird es den Maximalversorgern im Großen und Ganzen gelingen, die Vorgaben für die Leistungsgruppen zu erfüllen. Bei den Grundversorgern sieht es aber ganz anders aus, schon weil der Fachkräftemangel zu vielen unbesetzten Stellen führt. Hier gefährden die Reformpläne die Versorgung in der Fläche. Problematisch ist auch die Situation bei den Fachkrankenhäusern. Fast 40 Prozent von ihnen können die Vorgaben für die korrespondierenden Leistungsgruppen nicht oder nur teilweise erfüllen. Das könnte zum Ende der Kliniken und ihrer hochspezialisierten Behandlungen führen. </w:t>
      </w:r>
    </w:p>
    <w:p w14:paraId="36403CE7" w14:textId="3C02620C" w:rsidR="00FD61DA" w:rsidRDefault="00FD61DA" w:rsidP="00205686">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lastRenderedPageBreak/>
        <w:t xml:space="preserve">Die Krankenhäuser bleiben aber nach wie vor reformbereit und lassen sich auch auf das Prinzip der Leistungsgruppen ein. Das nordrhein-westfälische Modell ist dabei weitgehend akzeptiert. </w:t>
      </w:r>
    </w:p>
    <w:p w14:paraId="2CBF98A6" w14:textId="403A8C25" w:rsidR="00C4455B" w:rsidRDefault="0060059D" w:rsidP="00205686">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Vor allem die geplante Vorhaltefinanzierung stößt auf große Skepsis bis Ablehnung, dabei benötigen die Krankenhäuser dringend ein Konzept zur fallzahlenunabhängigen Finanzierung ihrer laufenden Kosten. Dass die Pläne des Bundesgesundheitsministers in dieser Hinsicht nichts taugen, hat nicht nur eine Analyse der DKG gezeigt</w:t>
      </w:r>
      <w:r w:rsidR="007B6818">
        <w:rPr>
          <w:rFonts w:ascii="Calibri" w:eastAsia="Times New Roman" w:hAnsi="Calibri" w:cs="Calibri"/>
          <w:bCs/>
          <w:lang w:eastAsia="de-DE"/>
        </w:rPr>
        <w:t>.</w:t>
      </w:r>
      <w:r>
        <w:rPr>
          <w:rFonts w:ascii="Calibri" w:eastAsia="Times New Roman" w:hAnsi="Calibri" w:cs="Calibri"/>
          <w:bCs/>
          <w:lang w:eastAsia="de-DE"/>
        </w:rPr>
        <w:t xml:space="preserve"> </w:t>
      </w:r>
      <w:r w:rsidR="007B6818">
        <w:rPr>
          <w:rFonts w:ascii="Calibri" w:eastAsia="Times New Roman" w:hAnsi="Calibri" w:cs="Calibri"/>
          <w:bCs/>
          <w:lang w:eastAsia="de-DE"/>
        </w:rPr>
        <w:t>A</w:t>
      </w:r>
      <w:r>
        <w:rPr>
          <w:rFonts w:ascii="Calibri" w:eastAsia="Times New Roman" w:hAnsi="Calibri" w:cs="Calibri"/>
          <w:bCs/>
          <w:lang w:eastAsia="de-DE"/>
        </w:rPr>
        <w:t xml:space="preserve">uch den Krankenhäusern ist bewusst, dass diese keine Verbesserung bringen werden. Stattdessen müssen jetzt schon bestehende </w:t>
      </w:r>
      <w:r w:rsidR="00E954F8">
        <w:rPr>
          <w:rFonts w:ascii="Calibri" w:eastAsia="Times New Roman" w:hAnsi="Calibri" w:cs="Calibri"/>
          <w:bCs/>
          <w:lang w:eastAsia="de-DE"/>
        </w:rPr>
        <w:t>Instrumente zur Versorgungssicherung, zum Beispiel Sicherstellungszuschläge, ausgeweitet und konsequent angewandt werden</w:t>
      </w:r>
      <w:r w:rsidR="007B6818">
        <w:rPr>
          <w:rFonts w:ascii="Calibri" w:eastAsia="Times New Roman" w:hAnsi="Calibri" w:cs="Calibri"/>
          <w:bCs/>
          <w:lang w:eastAsia="de-DE"/>
        </w:rPr>
        <w:t>,</w:t>
      </w:r>
      <w:r w:rsidR="00E954F8">
        <w:rPr>
          <w:rFonts w:ascii="Calibri" w:eastAsia="Times New Roman" w:hAnsi="Calibri" w:cs="Calibri"/>
          <w:bCs/>
          <w:lang w:eastAsia="de-DE"/>
        </w:rPr>
        <w:t xml:space="preserve"> bis taugliche Konzepte zur Vorhaltefinanzierung vorliegen. </w:t>
      </w:r>
      <w:r w:rsidR="00FD61DA">
        <w:rPr>
          <w:rFonts w:ascii="Calibri" w:eastAsia="Times New Roman" w:hAnsi="Calibri" w:cs="Calibri"/>
          <w:bCs/>
          <w:lang w:eastAsia="de-DE"/>
        </w:rPr>
        <w:t>Auf jeden Fall ist die verheerende Bewertung der geplanten Vorhaltefinanzierung</w:t>
      </w:r>
      <w:r w:rsidR="000C1D02">
        <w:rPr>
          <w:rFonts w:ascii="Calibri" w:eastAsia="Times New Roman" w:hAnsi="Calibri" w:cs="Calibri"/>
          <w:bCs/>
          <w:lang w:eastAsia="de-DE"/>
        </w:rPr>
        <w:t xml:space="preserve"> aus der Praxis</w:t>
      </w:r>
      <w:r w:rsidR="00FD61DA">
        <w:rPr>
          <w:rFonts w:ascii="Calibri" w:eastAsia="Times New Roman" w:hAnsi="Calibri" w:cs="Calibri"/>
          <w:bCs/>
          <w:lang w:eastAsia="de-DE"/>
        </w:rPr>
        <w:t xml:space="preserve"> ein </w:t>
      </w:r>
      <w:r w:rsidR="000C1D02">
        <w:rPr>
          <w:rFonts w:ascii="Calibri" w:eastAsia="Times New Roman" w:hAnsi="Calibri" w:cs="Calibri"/>
          <w:bCs/>
          <w:lang w:eastAsia="de-DE"/>
        </w:rPr>
        <w:t>schlechtes Z</w:t>
      </w:r>
      <w:r w:rsidR="00FD61DA">
        <w:rPr>
          <w:rFonts w:ascii="Calibri" w:eastAsia="Times New Roman" w:hAnsi="Calibri" w:cs="Calibri"/>
          <w:bCs/>
          <w:lang w:eastAsia="de-DE"/>
        </w:rPr>
        <w:t xml:space="preserve">eugnis für den Minister und die Regierung. </w:t>
      </w:r>
    </w:p>
    <w:p w14:paraId="186AC521" w14:textId="13791794" w:rsidR="00CE1893" w:rsidRDefault="00CE1893" w:rsidP="00205686">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Und auch bei der Frage der Dokumentationsplichten und der damit einhergehenden Bürokratie  herrscht Einigkeit. 95 Prozent der Kliniken erwarten, dass das Gesetz </w:t>
      </w:r>
      <w:r w:rsidR="005356B4">
        <w:rPr>
          <w:rFonts w:ascii="Calibri" w:eastAsia="Times New Roman" w:hAnsi="Calibri" w:cs="Calibri"/>
          <w:bCs/>
          <w:lang w:eastAsia="de-DE"/>
        </w:rPr>
        <w:t>zu</w:t>
      </w:r>
      <w:r>
        <w:rPr>
          <w:rFonts w:ascii="Calibri" w:eastAsia="Times New Roman" w:hAnsi="Calibri" w:cs="Calibri"/>
          <w:bCs/>
          <w:lang w:eastAsia="de-DE"/>
        </w:rPr>
        <w:t xml:space="preserve"> mehr Bürokratie führen wir</w:t>
      </w:r>
      <w:r w:rsidR="005356B4">
        <w:rPr>
          <w:rFonts w:ascii="Calibri" w:eastAsia="Times New Roman" w:hAnsi="Calibri" w:cs="Calibri"/>
          <w:bCs/>
          <w:lang w:eastAsia="de-DE"/>
        </w:rPr>
        <w:t>d</w:t>
      </w:r>
      <w:r>
        <w:rPr>
          <w:rFonts w:ascii="Calibri" w:eastAsia="Times New Roman" w:hAnsi="Calibri" w:cs="Calibri"/>
          <w:bCs/>
          <w:lang w:eastAsia="de-DE"/>
        </w:rPr>
        <w:t>. Dabei verspricht der Minister ständig wesentliche Schritte zur Entbürokratisierung. Dies</w:t>
      </w:r>
      <w:r w:rsidR="005356B4">
        <w:rPr>
          <w:rFonts w:ascii="Calibri" w:eastAsia="Times New Roman" w:hAnsi="Calibri" w:cs="Calibri"/>
          <w:bCs/>
          <w:lang w:eastAsia="de-DE"/>
        </w:rPr>
        <w:t>e</w:t>
      </w:r>
      <w:r>
        <w:rPr>
          <w:rFonts w:ascii="Calibri" w:eastAsia="Times New Roman" w:hAnsi="Calibri" w:cs="Calibri"/>
          <w:bCs/>
          <w:lang w:eastAsia="de-DE"/>
        </w:rPr>
        <w:t xml:space="preserve"> müssen jetzt auch endlich folgen. Herr Minister, wir nehmen </w:t>
      </w:r>
      <w:r w:rsidR="005356B4">
        <w:rPr>
          <w:rFonts w:ascii="Calibri" w:eastAsia="Times New Roman" w:hAnsi="Calibri" w:cs="Calibri"/>
          <w:bCs/>
          <w:lang w:eastAsia="de-DE"/>
        </w:rPr>
        <w:t>S</w:t>
      </w:r>
      <w:r>
        <w:rPr>
          <w:rFonts w:ascii="Calibri" w:eastAsia="Times New Roman" w:hAnsi="Calibri" w:cs="Calibri"/>
          <w:bCs/>
          <w:lang w:eastAsia="de-DE"/>
        </w:rPr>
        <w:t xml:space="preserve">ie beim Wort.  </w:t>
      </w:r>
    </w:p>
    <w:p w14:paraId="76ED75D3" w14:textId="6F187125" w:rsidR="00205686" w:rsidRPr="00205686" w:rsidRDefault="00205686" w:rsidP="00205686">
      <w:pPr>
        <w:tabs>
          <w:tab w:val="left" w:pos="7797"/>
        </w:tabs>
        <w:spacing w:line="340" w:lineRule="exact"/>
        <w:ind w:right="2410"/>
        <w:jc w:val="both"/>
        <w:rPr>
          <w:rFonts w:ascii="Calibri" w:eastAsia="Times New Roman" w:hAnsi="Calibri" w:cs="Calibri"/>
          <w:bCs/>
          <w:lang w:eastAsia="de-DE"/>
        </w:rPr>
      </w:pPr>
      <w:r w:rsidRPr="00205686">
        <w:rPr>
          <w:rFonts w:ascii="Calibri" w:eastAsia="Times New Roman" w:hAnsi="Calibri" w:cs="Calibri"/>
          <w:bCs/>
          <w:lang w:eastAsia="de-DE"/>
        </w:rPr>
        <w:br/>
      </w:r>
      <w:bookmarkStart w:id="0" w:name="_GoBack"/>
      <w:bookmarkEnd w:id="0"/>
      <w:r w:rsidR="00544B8B" w:rsidRPr="00544B8B">
        <w:rPr>
          <w:rFonts w:ascii="Calibri" w:eastAsia="Times New Roman" w:hAnsi="Calibri" w:cs="Calibri"/>
          <w:bCs/>
          <w:lang w:eastAsia="de-DE"/>
        </w:rPr>
        <w:t>Die Umfrage ist als Anlage beigefügt.</w:t>
      </w:r>
    </w:p>
    <w:p w14:paraId="4471A410" w14:textId="6FEE1101" w:rsidR="00916CFE" w:rsidRPr="00350922" w:rsidRDefault="00916CFE" w:rsidP="006E14EE">
      <w:pPr>
        <w:tabs>
          <w:tab w:val="left" w:pos="7797"/>
        </w:tabs>
        <w:spacing w:line="340" w:lineRule="exact"/>
        <w:ind w:right="2410"/>
        <w:jc w:val="both"/>
        <w:rPr>
          <w:rFonts w:ascii="Calibri" w:eastAsia="Times New Roman" w:hAnsi="Calibri" w:cs="Calibri"/>
          <w:bCs/>
          <w:lang w:eastAsia="de-DE"/>
        </w:rPr>
      </w:pPr>
    </w:p>
    <w:p w14:paraId="6A7EA848" w14:textId="180ABEFE" w:rsidR="00916CFE" w:rsidRPr="00C91D2F" w:rsidRDefault="00916CFE" w:rsidP="006E14EE">
      <w:pPr>
        <w:tabs>
          <w:tab w:val="left" w:pos="7797"/>
        </w:tabs>
        <w:spacing w:line="340" w:lineRule="exact"/>
        <w:ind w:right="2410"/>
        <w:jc w:val="both"/>
        <w:rPr>
          <w:rFonts w:asciiTheme="majorHAnsi" w:hAnsiTheme="majorHAnsi" w:cstheme="majorHAnsi"/>
          <w:color w:val="7F7F7F" w:themeColor="text1" w:themeTint="80"/>
          <w:sz w:val="18"/>
        </w:rPr>
      </w:pPr>
    </w:p>
    <w:p w14:paraId="6F4DD68F" w14:textId="182D264F"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0A88E517" w14:textId="3BF3F589" w:rsidR="0021251B" w:rsidRDefault="0021251B" w:rsidP="0021251B">
      <w:pPr>
        <w:rPr>
          <w:rFonts w:ascii="Arial" w:hAnsi="Arial" w:cs="Arial"/>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C5E62" w14:textId="77777777" w:rsidR="00C055C4" w:rsidRDefault="00C055C4" w:rsidP="008125E6">
      <w:pPr>
        <w:spacing w:after="0"/>
      </w:pPr>
      <w:r>
        <w:separator/>
      </w:r>
    </w:p>
  </w:endnote>
  <w:endnote w:type="continuationSeparator" w:id="0">
    <w:p w14:paraId="0691A9A8" w14:textId="77777777" w:rsidR="00C055C4" w:rsidRDefault="00C055C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DC5" w14:textId="77777777" w:rsidR="00C055C4" w:rsidRDefault="00C055C4" w:rsidP="008125E6">
      <w:pPr>
        <w:spacing w:after="0"/>
      </w:pPr>
      <w:r>
        <w:separator/>
      </w:r>
    </w:p>
  </w:footnote>
  <w:footnote w:type="continuationSeparator" w:id="0">
    <w:p w14:paraId="5D87176F" w14:textId="77777777" w:rsidR="00C055C4" w:rsidRDefault="00C055C4"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1D02"/>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686"/>
    <w:rsid w:val="00205E46"/>
    <w:rsid w:val="0021251B"/>
    <w:rsid w:val="002156A6"/>
    <w:rsid w:val="00245172"/>
    <w:rsid w:val="0026042D"/>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56B4"/>
    <w:rsid w:val="0053749D"/>
    <w:rsid w:val="00540AF0"/>
    <w:rsid w:val="00540DD3"/>
    <w:rsid w:val="00544B8B"/>
    <w:rsid w:val="0056210E"/>
    <w:rsid w:val="00570C6B"/>
    <w:rsid w:val="0058674F"/>
    <w:rsid w:val="00586EFC"/>
    <w:rsid w:val="0059029D"/>
    <w:rsid w:val="005A0D6A"/>
    <w:rsid w:val="005A6566"/>
    <w:rsid w:val="005B067E"/>
    <w:rsid w:val="005B100C"/>
    <w:rsid w:val="005C2BD9"/>
    <w:rsid w:val="005D1C55"/>
    <w:rsid w:val="005F6092"/>
    <w:rsid w:val="005F6514"/>
    <w:rsid w:val="0060059D"/>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B22A4"/>
    <w:rsid w:val="007B6818"/>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205BF"/>
    <w:rsid w:val="00A41756"/>
    <w:rsid w:val="00A8789C"/>
    <w:rsid w:val="00AC5BCE"/>
    <w:rsid w:val="00AE24DB"/>
    <w:rsid w:val="00B06B18"/>
    <w:rsid w:val="00B1353D"/>
    <w:rsid w:val="00B34514"/>
    <w:rsid w:val="00B402F1"/>
    <w:rsid w:val="00B52927"/>
    <w:rsid w:val="00B607F4"/>
    <w:rsid w:val="00B63E44"/>
    <w:rsid w:val="00B65874"/>
    <w:rsid w:val="00B74141"/>
    <w:rsid w:val="00B7543C"/>
    <w:rsid w:val="00B87286"/>
    <w:rsid w:val="00BB0243"/>
    <w:rsid w:val="00BF222D"/>
    <w:rsid w:val="00C055C4"/>
    <w:rsid w:val="00C16F15"/>
    <w:rsid w:val="00C16FF4"/>
    <w:rsid w:val="00C4455B"/>
    <w:rsid w:val="00C55E7D"/>
    <w:rsid w:val="00C91D2F"/>
    <w:rsid w:val="00C92F25"/>
    <w:rsid w:val="00C930CF"/>
    <w:rsid w:val="00C9558C"/>
    <w:rsid w:val="00C96C96"/>
    <w:rsid w:val="00CB748C"/>
    <w:rsid w:val="00CC21C5"/>
    <w:rsid w:val="00CD6E55"/>
    <w:rsid w:val="00CE1893"/>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954F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D61DA"/>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StandardWeb">
    <w:name w:val="Normal (Web)"/>
    <w:basedOn w:val="Standard"/>
    <w:uiPriority w:val="99"/>
    <w:semiHidden/>
    <w:unhideWhenUsed/>
    <w:rsid w:val="002056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1651837">
      <w:bodyDiv w:val="1"/>
      <w:marLeft w:val="0"/>
      <w:marRight w:val="0"/>
      <w:marTop w:val="0"/>
      <w:marBottom w:val="0"/>
      <w:divBdr>
        <w:top w:val="none" w:sz="0" w:space="0" w:color="auto"/>
        <w:left w:val="none" w:sz="0" w:space="0" w:color="auto"/>
        <w:bottom w:val="none" w:sz="0" w:space="0" w:color="auto"/>
        <w:right w:val="none" w:sz="0" w:space="0" w:color="auto"/>
      </w:divBdr>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7252-DCF1-4384-933C-729DFF57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5</cp:revision>
  <cp:lastPrinted>2024-09-26T11:27:00Z</cp:lastPrinted>
  <dcterms:created xsi:type="dcterms:W3CDTF">2024-09-26T11:00:00Z</dcterms:created>
  <dcterms:modified xsi:type="dcterms:W3CDTF">2024-09-26T11:27:00Z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