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A7B61" w14:textId="77777777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5B0C152F" w14:textId="77777777" w:rsidR="00031885" w:rsidRDefault="00031885">
      <w:pPr>
        <w:rPr>
          <w:rFonts w:ascii="Arial" w:hAnsi="Arial" w:cs="Arial"/>
          <w:sz w:val="22"/>
          <w:szCs w:val="22"/>
        </w:rPr>
      </w:pPr>
    </w:p>
    <w:p w14:paraId="7995A59B" w14:textId="77777777" w:rsidR="005B1182" w:rsidRDefault="009B6016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311358">
        <w:rPr>
          <w:rFonts w:ascii="Arial" w:eastAsia="Times New Roman" w:hAnsi="Arial" w:cs="Times New Roman"/>
          <w:b/>
          <w:szCs w:val="20"/>
          <w:u w:val="single"/>
          <w:lang w:eastAsia="de-DE"/>
        </w:rPr>
        <w:t>zu</w:t>
      </w:r>
      <w:r w:rsidR="005B1182">
        <w:rPr>
          <w:rFonts w:ascii="Arial" w:eastAsia="Times New Roman" w:hAnsi="Arial" w:cs="Times New Roman"/>
          <w:b/>
          <w:szCs w:val="20"/>
          <w:u w:val="single"/>
          <w:lang w:eastAsia="de-DE"/>
        </w:rPr>
        <w:t>r</w:t>
      </w:r>
      <w:r w:rsidR="00695CCB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DA79C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Veröffentlichung des </w:t>
      </w:r>
      <w:r w:rsidR="00DA79CC" w:rsidRPr="00DA79CC">
        <w:rPr>
          <w:rFonts w:ascii="Arial" w:eastAsia="Times New Roman" w:hAnsi="Arial" w:cs="Times New Roman"/>
          <w:b/>
          <w:bCs/>
          <w:szCs w:val="20"/>
          <w:u w:val="single"/>
          <w:lang w:eastAsia="de-DE"/>
        </w:rPr>
        <w:t xml:space="preserve">Orientierungswertes </w:t>
      </w:r>
      <w:r w:rsidR="00DA79C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durch das </w:t>
      </w:r>
    </w:p>
    <w:p w14:paraId="7CFF1CF9" w14:textId="725A1DFE" w:rsidR="00695CCB" w:rsidRDefault="009576C5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>S</w:t>
      </w:r>
      <w:r w:rsidR="00DA79CC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tatistische Bundesamt </w:t>
      </w:r>
    </w:p>
    <w:p w14:paraId="62076B6D" w14:textId="77777777" w:rsidR="00795922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51B10EE3" w14:textId="77777777" w:rsidR="000B6EBC" w:rsidRDefault="00DA79CC" w:rsidP="00052AA8">
      <w:pPr>
        <w:spacing w:after="0" w:line="340" w:lineRule="atLeast"/>
        <w:ind w:right="2268"/>
        <w:rPr>
          <w:rFonts w:ascii="Arial" w:eastAsia="Times New Roman" w:hAnsi="Arial" w:cs="Arial"/>
          <w:b/>
          <w:bCs/>
          <w:sz w:val="28"/>
          <w:szCs w:val="28"/>
          <w:lang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de-DE"/>
        </w:rPr>
        <w:t xml:space="preserve">Orientierungswert zeigt immense Kostensteigerungen </w:t>
      </w:r>
    </w:p>
    <w:p w14:paraId="1094EF96" w14:textId="77777777" w:rsidR="00695CCB" w:rsidRPr="00695CCB" w:rsidRDefault="00695CCB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b/>
          <w:sz w:val="28"/>
          <w:szCs w:val="28"/>
          <w:lang w:eastAsia="de-DE"/>
        </w:rPr>
      </w:pPr>
    </w:p>
    <w:p w14:paraId="3CB80E28" w14:textId="4184525C" w:rsidR="00DA79CC" w:rsidRPr="00DA79CC" w:rsidRDefault="00D30167" w:rsidP="00DA79CC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 w:rsidRPr="008602BF">
        <w:rPr>
          <w:rFonts w:ascii="Arial" w:eastAsia="Times New Roman" w:hAnsi="Arial" w:cs="Arial"/>
          <w:sz w:val="22"/>
          <w:lang w:eastAsia="de-DE"/>
        </w:rPr>
        <w:t xml:space="preserve">Berlin, </w: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begin"/>
      </w:r>
      <w:r w:rsidR="000C54EE" w:rsidRPr="008602BF">
        <w:rPr>
          <w:rFonts w:ascii="Arial" w:eastAsia="Times New Roman" w:hAnsi="Arial" w:cs="Arial"/>
          <w:sz w:val="22"/>
          <w:lang w:eastAsia="de-DE"/>
        </w:rPr>
        <w:instrText xml:space="preserve"> TIME \@ "d. MMMM yyyy" </w:instrTex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separate"/>
      </w:r>
      <w:r w:rsidR="00C73087">
        <w:rPr>
          <w:rFonts w:ascii="Arial" w:eastAsia="Times New Roman" w:hAnsi="Arial" w:cs="Arial"/>
          <w:noProof/>
          <w:sz w:val="22"/>
          <w:lang w:eastAsia="de-DE"/>
        </w:rPr>
        <w:t>30. September 2022</w:t>
      </w:r>
      <w:r w:rsidR="000C54EE" w:rsidRPr="008602BF">
        <w:rPr>
          <w:rFonts w:ascii="Arial" w:eastAsia="Times New Roman" w:hAnsi="Arial" w:cs="Arial"/>
          <w:sz w:val="22"/>
          <w:lang w:eastAsia="de-DE"/>
        </w:rPr>
        <w:fldChar w:fldCharType="end"/>
      </w:r>
      <w:r w:rsidR="000C54EE" w:rsidRPr="008602BF">
        <w:rPr>
          <w:rFonts w:ascii="Arial" w:eastAsia="Times New Roman" w:hAnsi="Arial" w:cs="Arial"/>
          <w:sz w:val="22"/>
          <w:lang w:eastAsia="de-DE"/>
        </w:rPr>
        <w:t xml:space="preserve"> </w:t>
      </w:r>
      <w:r w:rsidR="0052054C" w:rsidRPr="008602BF">
        <w:rPr>
          <w:rFonts w:ascii="Arial" w:eastAsia="Times New Roman" w:hAnsi="Arial" w:cs="Arial"/>
          <w:sz w:val="22"/>
          <w:lang w:eastAsia="de-DE"/>
        </w:rPr>
        <w:t>–</w:t>
      </w:r>
      <w:r w:rsidR="005B1182">
        <w:rPr>
          <w:rFonts w:ascii="Arial" w:eastAsia="Times New Roman" w:hAnsi="Arial" w:cs="Arial"/>
          <w:sz w:val="22"/>
          <w:lang w:eastAsia="de-DE"/>
        </w:rPr>
        <w:t xml:space="preserve">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Die Veröffentlichung des Orientierungswertes für Krankenhäuser durch das Statistische Bundesamt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verdeutlicht</w:t>
      </w:r>
      <w:r w:rsidR="005B1182" w:rsidRPr="00DA79CC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die immense Kostenbelastung der Krankenhäuser, die schon vor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 xml:space="preserve">dem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extremen Anstieg der Energiekosten 2022 eingesetzt hat. Für den Zeitraum des zweiten Halbjahres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20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21 und des ersten Halbjahres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20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22 beträgt der Orientierungswert 6,07 </w:t>
      </w:r>
      <w:r w:rsidR="009576C5">
        <w:rPr>
          <w:rFonts w:ascii="Arial" w:eastAsia="Times New Roman" w:hAnsi="Arial" w:cs="Arial"/>
          <w:bCs/>
          <w:sz w:val="22"/>
          <w:lang w:eastAsia="de-DE"/>
        </w:rPr>
        <w:t>Prozent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.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D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as bedeutet, dass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 xml:space="preserve">sich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in diesem Zeitraum die Personal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-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und Sachkosten um diesen Faktor verteuert haben. Angehoben wurden aber die </w:t>
      </w:r>
      <w:r w:rsidR="00C6450D">
        <w:rPr>
          <w:rFonts w:ascii="Arial" w:eastAsia="Times New Roman" w:hAnsi="Arial" w:cs="Arial"/>
          <w:bCs/>
          <w:sz w:val="22"/>
          <w:lang w:eastAsia="de-DE"/>
        </w:rPr>
        <w:t>Erlöse</w:t>
      </w:r>
      <w:r w:rsidR="00C6450D" w:rsidRPr="00DA79CC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C6450D">
        <w:rPr>
          <w:rFonts w:ascii="Arial" w:eastAsia="Times New Roman" w:hAnsi="Arial" w:cs="Arial"/>
          <w:bCs/>
          <w:sz w:val="22"/>
          <w:lang w:eastAsia="de-DE"/>
        </w:rPr>
        <w:t xml:space="preserve">der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Krankenhäuser </w:t>
      </w:r>
      <w:r w:rsidR="00C6450D">
        <w:rPr>
          <w:rFonts w:ascii="Arial" w:eastAsia="Times New Roman" w:hAnsi="Arial" w:cs="Arial"/>
          <w:bCs/>
          <w:sz w:val="22"/>
          <w:lang w:eastAsia="de-DE"/>
        </w:rPr>
        <w:t>im Jahr 2021 nur um 2,53</w:t>
      </w:r>
      <w:r w:rsidR="009576C5">
        <w:rPr>
          <w:rFonts w:ascii="Arial" w:eastAsia="Times New Roman" w:hAnsi="Arial" w:cs="Arial"/>
          <w:bCs/>
          <w:sz w:val="22"/>
          <w:lang w:eastAsia="de-DE"/>
        </w:rPr>
        <w:t xml:space="preserve"> Prozent,</w:t>
      </w:r>
      <w:r w:rsidR="00C6450D">
        <w:rPr>
          <w:rFonts w:ascii="Arial" w:eastAsia="Times New Roman" w:hAnsi="Arial" w:cs="Arial"/>
          <w:bCs/>
          <w:sz w:val="22"/>
          <w:lang w:eastAsia="de-DE"/>
        </w:rPr>
        <w:t xml:space="preserve"> 2022 sogar nur um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2,3</w:t>
      </w:r>
      <w:r w:rsidR="00C6450D">
        <w:rPr>
          <w:rFonts w:ascii="Arial" w:eastAsia="Times New Roman" w:hAnsi="Arial" w:cs="Arial"/>
          <w:bCs/>
          <w:sz w:val="22"/>
          <w:lang w:eastAsia="de-DE"/>
        </w:rPr>
        <w:t>2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9576C5">
        <w:rPr>
          <w:rFonts w:ascii="Arial" w:eastAsia="Times New Roman" w:hAnsi="Arial" w:cs="Arial"/>
          <w:bCs/>
          <w:sz w:val="22"/>
          <w:lang w:eastAsia="de-DE"/>
        </w:rPr>
        <w:t>Prozent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. Das bedeutet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, dass sich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schon </w:t>
      </w:r>
      <w:r w:rsidR="001B6794">
        <w:rPr>
          <w:rFonts w:ascii="Arial" w:eastAsia="Times New Roman" w:hAnsi="Arial" w:cs="Arial"/>
          <w:bCs/>
          <w:sz w:val="22"/>
          <w:lang w:eastAsia="de-DE"/>
        </w:rPr>
        <w:t xml:space="preserve">ab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20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21 das Defizit der Kliniken deutlich verschärft</w:t>
      </w:r>
      <w:r w:rsidR="005B1182">
        <w:rPr>
          <w:rFonts w:ascii="Arial" w:eastAsia="Times New Roman" w:hAnsi="Arial" w:cs="Arial"/>
          <w:bCs/>
          <w:sz w:val="22"/>
          <w:lang w:eastAsia="de-DE"/>
        </w:rPr>
        <w:t xml:space="preserve"> hat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. </w:t>
      </w:r>
    </w:p>
    <w:p w14:paraId="7C03E500" w14:textId="62EDB258" w:rsidR="00DA79CC" w:rsidRPr="00DA79CC" w:rsidRDefault="008F18DB" w:rsidP="00DA79CC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>
        <w:rPr>
          <w:rFonts w:ascii="Arial" w:eastAsia="Times New Roman" w:hAnsi="Arial" w:cs="Arial"/>
          <w:bCs/>
          <w:sz w:val="22"/>
          <w:lang w:eastAsia="de-DE"/>
        </w:rPr>
        <w:t>„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Und 2022 setzt sich dieser Trend ungebremst fort, er beschleunigt sich sogar. Die Inflation liegt mittlerweile bei </w:t>
      </w:r>
      <w:r w:rsidR="0054775B">
        <w:rPr>
          <w:rFonts w:ascii="Arial" w:eastAsia="Times New Roman" w:hAnsi="Arial" w:cs="Arial"/>
          <w:bCs/>
          <w:sz w:val="22"/>
          <w:lang w:eastAsia="de-DE"/>
        </w:rPr>
        <w:t>mehr als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54775B">
        <w:rPr>
          <w:rFonts w:ascii="Arial" w:eastAsia="Times New Roman" w:hAnsi="Arial" w:cs="Arial"/>
          <w:bCs/>
          <w:sz w:val="22"/>
          <w:lang w:eastAsia="de-DE"/>
        </w:rPr>
        <w:t>zehn Prozent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. Wir habe</w:t>
      </w:r>
      <w:r>
        <w:rPr>
          <w:rFonts w:ascii="Arial" w:eastAsia="Times New Roman" w:hAnsi="Arial" w:cs="Arial"/>
          <w:bCs/>
          <w:sz w:val="22"/>
          <w:lang w:eastAsia="de-DE"/>
        </w:rPr>
        <w:t>n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bis dato für </w:t>
      </w:r>
      <w:r>
        <w:rPr>
          <w:rFonts w:ascii="Arial" w:eastAsia="Times New Roman" w:hAnsi="Arial" w:cs="Arial"/>
          <w:bCs/>
          <w:sz w:val="22"/>
          <w:lang w:eastAsia="de-DE"/>
        </w:rPr>
        <w:t>20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22 eine achtprozentige Steigerung angenommen. Die offiziellen Zahlen unterstützen uns bei unserer Berechnung und den Forderungen nach einem umgehenden Inflationsausgleich</w:t>
      </w:r>
      <w:r>
        <w:rPr>
          <w:rFonts w:ascii="Arial" w:eastAsia="Times New Roman" w:hAnsi="Arial" w:cs="Arial"/>
          <w:bCs/>
          <w:sz w:val="22"/>
          <w:lang w:eastAsia="de-DE"/>
        </w:rPr>
        <w:t>“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, erklärt Dr. Gerald Gaß, Vorstandsvorsitzender der DKG.</w:t>
      </w:r>
    </w:p>
    <w:p w14:paraId="3C75345A" w14:textId="18196101" w:rsidR="00DA79CC" w:rsidRPr="00DA79CC" w:rsidRDefault="00DA79CC" w:rsidP="00DA79CC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 w:rsidRPr="00DA79CC">
        <w:rPr>
          <w:rFonts w:ascii="Arial" w:eastAsia="Times New Roman" w:hAnsi="Arial" w:cs="Arial"/>
          <w:bCs/>
          <w:sz w:val="22"/>
          <w:lang w:eastAsia="de-DE"/>
        </w:rPr>
        <w:t>Au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ch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der Teilorientierungswert für Personalkosten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 xml:space="preserve">zeigt 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mit 6,1 </w:t>
      </w:r>
      <w:r w:rsidR="008F18DB">
        <w:rPr>
          <w:rFonts w:ascii="Arial" w:eastAsia="Times New Roman" w:hAnsi="Arial" w:cs="Arial"/>
          <w:bCs/>
          <w:sz w:val="22"/>
          <w:lang w:eastAsia="de-DE"/>
        </w:rPr>
        <w:t>Prozent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die extreme Belastung der Kliniken. </w:t>
      </w:r>
      <w:r w:rsidR="00B435D5">
        <w:rPr>
          <w:rFonts w:ascii="Arial" w:eastAsia="Times New Roman" w:hAnsi="Arial" w:cs="Arial"/>
          <w:bCs/>
          <w:sz w:val="22"/>
          <w:lang w:eastAsia="de-DE"/>
        </w:rPr>
        <w:t xml:space="preserve">Zwar wird die 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>Pflege</w:t>
      </w:r>
      <w:r w:rsidR="00B435D5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>durch das Pflegebudget abgedeckt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,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</w:t>
      </w:r>
      <w:r w:rsidR="00B435D5">
        <w:rPr>
          <w:rFonts w:ascii="Arial" w:eastAsia="Times New Roman" w:hAnsi="Arial" w:cs="Arial"/>
          <w:bCs/>
          <w:sz w:val="22"/>
          <w:lang w:eastAsia="de-DE"/>
        </w:rPr>
        <w:t xml:space="preserve">doch ungefähr 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50 </w:t>
      </w:r>
      <w:r w:rsidR="005B1182">
        <w:rPr>
          <w:rFonts w:ascii="Arial" w:eastAsia="Times New Roman" w:hAnsi="Arial" w:cs="Arial"/>
          <w:bCs/>
          <w:sz w:val="22"/>
          <w:lang w:eastAsia="de-DE"/>
        </w:rPr>
        <w:t>Prozent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der Personalkosten </w:t>
      </w:r>
      <w:r w:rsidR="00B435D5">
        <w:rPr>
          <w:rFonts w:ascii="Arial" w:eastAsia="Times New Roman" w:hAnsi="Arial" w:cs="Arial"/>
          <w:bCs/>
          <w:sz w:val="22"/>
          <w:lang w:eastAsia="de-DE"/>
        </w:rPr>
        <w:t xml:space="preserve">fallen außerhalb dieses Bereiches an und unterliegen 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>diese</w:t>
      </w:r>
      <w:r w:rsidR="00B435D5">
        <w:rPr>
          <w:rFonts w:ascii="Arial" w:eastAsia="Times New Roman" w:hAnsi="Arial" w:cs="Arial"/>
          <w:bCs/>
          <w:sz w:val="22"/>
          <w:lang w:eastAsia="de-DE"/>
        </w:rPr>
        <w:t>r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Steigerung</w:t>
      </w:r>
      <w:r w:rsidR="00B435D5">
        <w:rPr>
          <w:rFonts w:ascii="Arial" w:eastAsia="Times New Roman" w:hAnsi="Arial" w:cs="Arial"/>
          <w:bCs/>
          <w:sz w:val="22"/>
          <w:lang w:eastAsia="de-DE"/>
        </w:rPr>
        <w:t>, ohne da</w:t>
      </w:r>
      <w:r w:rsidR="009576C5">
        <w:rPr>
          <w:rFonts w:ascii="Arial" w:eastAsia="Times New Roman" w:hAnsi="Arial" w:cs="Arial"/>
          <w:bCs/>
          <w:sz w:val="22"/>
          <w:lang w:eastAsia="de-DE"/>
        </w:rPr>
        <w:t>s</w:t>
      </w:r>
      <w:r w:rsidR="00B435D5">
        <w:rPr>
          <w:rFonts w:ascii="Arial" w:eastAsia="Times New Roman" w:hAnsi="Arial" w:cs="Arial"/>
          <w:bCs/>
          <w:sz w:val="22"/>
          <w:lang w:eastAsia="de-DE"/>
        </w:rPr>
        <w:t>s eine Gegenfinanzierung vorliegt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. Dieser Teilorientierungswert wirkt sich auf rund 45 Milliarden </w:t>
      </w:r>
      <w:r w:rsidR="008F18DB">
        <w:rPr>
          <w:rFonts w:ascii="Arial" w:eastAsia="Times New Roman" w:hAnsi="Arial" w:cs="Arial"/>
          <w:bCs/>
          <w:sz w:val="22"/>
          <w:lang w:eastAsia="de-DE"/>
        </w:rPr>
        <w:t>Euro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Personalkostenanteil aus, was eine Mehrbelastung von 2 Milliarden </w:t>
      </w:r>
      <w:r w:rsidR="008F18DB">
        <w:rPr>
          <w:rFonts w:ascii="Arial" w:eastAsia="Times New Roman" w:hAnsi="Arial" w:cs="Arial"/>
          <w:bCs/>
          <w:sz w:val="22"/>
          <w:lang w:eastAsia="de-DE"/>
        </w:rPr>
        <w:t>Euro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für die Krankenhäuser im Zeitraum </w:t>
      </w:r>
      <w:r w:rsidR="008F18DB">
        <w:rPr>
          <w:rFonts w:ascii="Arial" w:eastAsia="Times New Roman" w:hAnsi="Arial" w:cs="Arial"/>
          <w:bCs/>
          <w:sz w:val="22"/>
          <w:lang w:eastAsia="de-DE"/>
        </w:rPr>
        <w:t xml:space="preserve">zwischen dem 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>zweite</w:t>
      </w:r>
      <w:r w:rsidR="008F18DB">
        <w:rPr>
          <w:rFonts w:ascii="Arial" w:eastAsia="Times New Roman" w:hAnsi="Arial" w:cs="Arial"/>
          <w:bCs/>
          <w:sz w:val="22"/>
          <w:lang w:eastAsia="de-DE"/>
        </w:rPr>
        <w:t>n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Halbjahr </w:t>
      </w:r>
      <w:r w:rsidR="008F18DB">
        <w:rPr>
          <w:rFonts w:ascii="Arial" w:eastAsia="Times New Roman" w:hAnsi="Arial" w:cs="Arial"/>
          <w:bCs/>
          <w:sz w:val="22"/>
          <w:lang w:eastAsia="de-DE"/>
        </w:rPr>
        <w:t>20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21 </w:t>
      </w:r>
      <w:r w:rsidR="008F18DB">
        <w:rPr>
          <w:rFonts w:ascii="Arial" w:eastAsia="Times New Roman" w:hAnsi="Arial" w:cs="Arial"/>
          <w:bCs/>
          <w:sz w:val="22"/>
          <w:lang w:eastAsia="de-DE"/>
        </w:rPr>
        <w:t>und dem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 xml:space="preserve"> Sommer </w:t>
      </w:r>
      <w:r w:rsidR="008F18DB">
        <w:rPr>
          <w:rFonts w:ascii="Arial" w:eastAsia="Times New Roman" w:hAnsi="Arial" w:cs="Arial"/>
          <w:bCs/>
          <w:sz w:val="22"/>
          <w:lang w:eastAsia="de-DE"/>
        </w:rPr>
        <w:t>20</w:t>
      </w:r>
      <w:r w:rsidRPr="00DA79CC">
        <w:rPr>
          <w:rFonts w:ascii="Arial" w:eastAsia="Times New Roman" w:hAnsi="Arial" w:cs="Arial"/>
          <w:bCs/>
          <w:sz w:val="22"/>
          <w:lang w:eastAsia="de-DE"/>
        </w:rPr>
        <w:t>22 bedeutet.</w:t>
      </w:r>
    </w:p>
    <w:p w14:paraId="2487D1FC" w14:textId="06A51DB1" w:rsidR="00DA79CC" w:rsidRPr="00DA79CC" w:rsidRDefault="008F18DB" w:rsidP="00DA79CC">
      <w:pPr>
        <w:spacing w:line="340" w:lineRule="atLeast"/>
        <w:ind w:right="2268"/>
        <w:jc w:val="both"/>
        <w:rPr>
          <w:rFonts w:ascii="Arial" w:eastAsia="Times New Roman" w:hAnsi="Arial" w:cs="Arial"/>
          <w:bCs/>
          <w:sz w:val="22"/>
          <w:lang w:eastAsia="de-DE"/>
        </w:rPr>
      </w:pPr>
      <w:r>
        <w:rPr>
          <w:rFonts w:ascii="Arial" w:eastAsia="Times New Roman" w:hAnsi="Arial" w:cs="Arial"/>
          <w:bCs/>
          <w:sz w:val="22"/>
          <w:lang w:eastAsia="de-DE"/>
        </w:rPr>
        <w:t>„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Auch für das kommende Jahr ist diese</w:t>
      </w:r>
      <w:r>
        <w:rPr>
          <w:rFonts w:ascii="Arial" w:eastAsia="Times New Roman" w:hAnsi="Arial" w:cs="Arial"/>
          <w:bCs/>
          <w:sz w:val="22"/>
          <w:lang w:eastAsia="de-DE"/>
        </w:rPr>
        <w:t>r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Orientierungswert kein Signal der Entspannung. </w:t>
      </w:r>
      <w:r w:rsidR="001B6794">
        <w:rPr>
          <w:rFonts w:ascii="Arial" w:eastAsia="Times New Roman" w:hAnsi="Arial" w:cs="Arial"/>
          <w:bCs/>
          <w:sz w:val="22"/>
          <w:lang w:eastAsia="de-DE"/>
        </w:rPr>
        <w:t xml:space="preserve">Durch gesetzliche Regelungen wird er zum einen sogar nur anteilig wirksam, zum anderen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liegt </w:t>
      </w:r>
      <w:r w:rsidR="001B6794">
        <w:rPr>
          <w:rFonts w:ascii="Arial" w:eastAsia="Times New Roman" w:hAnsi="Arial" w:cs="Arial"/>
          <w:bCs/>
          <w:sz w:val="22"/>
          <w:lang w:eastAsia="de-DE"/>
        </w:rPr>
        <w:t xml:space="preserve">er aber auf jeden Fall deutlich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unter der Inflationsrate 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von 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2022 und</w:t>
      </w:r>
      <w:r>
        <w:rPr>
          <w:rFonts w:ascii="Arial" w:eastAsia="Times New Roman" w:hAnsi="Arial" w:cs="Arial"/>
          <w:bCs/>
          <w:sz w:val="22"/>
          <w:lang w:eastAsia="de-DE"/>
        </w:rPr>
        <w:t xml:space="preserve"> auch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20</w:t>
      </w:r>
      <w:r w:rsidR="001B6794">
        <w:rPr>
          <w:rFonts w:ascii="Arial" w:eastAsia="Times New Roman" w:hAnsi="Arial" w:cs="Arial"/>
          <w:bCs/>
          <w:sz w:val="22"/>
          <w:lang w:eastAsia="de-DE"/>
        </w:rPr>
        <w:t>2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3</w:t>
      </w:r>
      <w:r>
        <w:rPr>
          <w:rFonts w:ascii="Arial" w:eastAsia="Times New Roman" w:hAnsi="Arial" w:cs="Arial"/>
          <w:bCs/>
          <w:sz w:val="22"/>
          <w:lang w:eastAsia="de-DE"/>
        </w:rPr>
        <w:t>,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und zugleich ist das schon vorab entstanden</w:t>
      </w:r>
      <w:r>
        <w:rPr>
          <w:rFonts w:ascii="Arial" w:eastAsia="Times New Roman" w:hAnsi="Arial" w:cs="Arial"/>
          <w:bCs/>
          <w:sz w:val="22"/>
          <w:lang w:eastAsia="de-DE"/>
        </w:rPr>
        <w:t>e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 xml:space="preserve"> Defizit nicht aufzufangen</w:t>
      </w:r>
      <w:r>
        <w:rPr>
          <w:rFonts w:ascii="Arial" w:eastAsia="Times New Roman" w:hAnsi="Arial" w:cs="Arial"/>
          <w:bCs/>
          <w:sz w:val="22"/>
          <w:lang w:eastAsia="de-DE"/>
        </w:rPr>
        <w:t>“</w:t>
      </w:r>
      <w:r w:rsidR="00DA79CC" w:rsidRPr="00DA79CC">
        <w:rPr>
          <w:rFonts w:ascii="Arial" w:eastAsia="Times New Roman" w:hAnsi="Arial" w:cs="Arial"/>
          <w:bCs/>
          <w:sz w:val="22"/>
          <w:lang w:eastAsia="de-DE"/>
        </w:rPr>
        <w:t>, so Gaß.</w:t>
      </w:r>
    </w:p>
    <w:p w14:paraId="098F6407" w14:textId="77777777" w:rsidR="0021251B" w:rsidRPr="00EF25AE" w:rsidRDefault="0058674F" w:rsidP="00EF25AE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lastRenderedPageBreak/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1.9</w:t>
      </w:r>
      <w:r w:rsidR="001921E4">
        <w:rPr>
          <w:rFonts w:ascii="Arial" w:hAnsi="Arial" w:cs="Arial"/>
          <w:color w:val="7F7F7F" w:themeColor="text1" w:themeTint="80"/>
          <w:sz w:val="18"/>
        </w:rPr>
        <w:t>03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1921E4">
        <w:rPr>
          <w:rFonts w:ascii="Arial" w:hAnsi="Arial" w:cs="Arial"/>
          <w:color w:val="7F7F7F" w:themeColor="text1" w:themeTint="80"/>
          <w:sz w:val="18"/>
        </w:rPr>
        <w:t>19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22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</w:t>
      </w:r>
      <w:bookmarkStart w:id="0" w:name="_GoBack"/>
      <w:bookmarkEnd w:id="0"/>
      <w:r w:rsidRPr="0058674F">
        <w:rPr>
          <w:rFonts w:ascii="Arial" w:hAnsi="Arial" w:cs="Arial"/>
          <w:color w:val="7F7F7F" w:themeColor="text1" w:themeTint="80"/>
          <w:sz w:val="18"/>
        </w:rPr>
        <w:t>ndheitswesen.</w:t>
      </w:r>
      <w:r w:rsidR="0021251B">
        <w:rPr>
          <w:rFonts w:ascii="Arial" w:hAnsi="Arial" w:cs="Arial"/>
          <w:sz w:val="18"/>
        </w:rPr>
        <w:tab/>
      </w:r>
    </w:p>
    <w:sectPr w:rsidR="0021251B" w:rsidRPr="00EF25AE" w:rsidSect="008E50AB">
      <w:headerReference w:type="default" r:id="rId8"/>
      <w:headerReference w:type="first" r:id="rId9"/>
      <w:footerReference w:type="first" r:id="rId10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3BC32" w14:textId="77777777" w:rsidR="0020519B" w:rsidRDefault="0020519B" w:rsidP="008125E6">
      <w:pPr>
        <w:spacing w:after="0"/>
      </w:pPr>
      <w:r>
        <w:separator/>
      </w:r>
    </w:p>
  </w:endnote>
  <w:endnote w:type="continuationSeparator" w:id="0">
    <w:p w14:paraId="11F50373" w14:textId="77777777" w:rsidR="0020519B" w:rsidRDefault="0020519B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AC87DA" w14:textId="77777777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B6E34AF" wp14:editId="7DE81C20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8BEFE2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2F7E9F79" w14:textId="77777777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27B8ADCA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2EFE723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788311DD" w14:textId="77777777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75137B5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1D2EE4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740CC7C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9581167" w14:textId="7777777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2A0719D" w14:textId="77777777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0335BAA" w14:textId="77777777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5D507B79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39DAE51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03353FB5" w14:textId="7777777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2CD9B3F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6DA8AFD" w14:textId="77777777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7912DE7A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1686EF8C" w14:textId="55336DDF" w:rsidR="00197695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51A09E08" w14:textId="77777777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19DB8063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4D9038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6468EFF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28C9B63C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5D60F2CA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6B4F04CC" w14:textId="77777777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51780902" w14:textId="77777777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04FE7828" w14:textId="77777777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3154559F" w14:textId="77777777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0B658C5B" w14:textId="77777777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E34A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4C8BEFE2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2F7E9F79" w14:textId="77777777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27B8ADCA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2EFE723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788311DD" w14:textId="77777777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75137B5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1D2EE4C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740CC7C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9581167" w14:textId="7777777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2A0719D" w14:textId="77777777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0335BAA" w14:textId="77777777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5D507B79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39DAE51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03353FB5" w14:textId="7777777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2CD9B3FC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6DA8AFD" w14:textId="77777777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7912DE7A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1686EF8C" w14:textId="55336DDF" w:rsidR="00197695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51A09E08" w14:textId="77777777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19DB8063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4D9038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6468EFF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28C9B63C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5D60F2CA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6B4F04CC" w14:textId="77777777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51780902" w14:textId="77777777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04FE7828" w14:textId="77777777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3154559F" w14:textId="77777777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0B658C5B" w14:textId="77777777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4AE49474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36199" w14:textId="77777777" w:rsidR="0020519B" w:rsidRDefault="0020519B" w:rsidP="008125E6">
      <w:pPr>
        <w:spacing w:after="0"/>
      </w:pPr>
      <w:r>
        <w:separator/>
      </w:r>
    </w:p>
  </w:footnote>
  <w:footnote w:type="continuationSeparator" w:id="0">
    <w:p w14:paraId="5B36ACD5" w14:textId="77777777" w:rsidR="0020519B" w:rsidRDefault="0020519B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ABB46" w14:textId="77777777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E66810" w14:textId="77777777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432C8FBD" wp14:editId="1F9327E5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211B"/>
    <w:rsid w:val="00022761"/>
    <w:rsid w:val="00024819"/>
    <w:rsid w:val="00026B38"/>
    <w:rsid w:val="00031885"/>
    <w:rsid w:val="00052AA8"/>
    <w:rsid w:val="00060D57"/>
    <w:rsid w:val="00064492"/>
    <w:rsid w:val="0007527C"/>
    <w:rsid w:val="0008373B"/>
    <w:rsid w:val="00084B39"/>
    <w:rsid w:val="000906C3"/>
    <w:rsid w:val="00092CED"/>
    <w:rsid w:val="00096D20"/>
    <w:rsid w:val="000A31C9"/>
    <w:rsid w:val="000B6EBC"/>
    <w:rsid w:val="000C54EE"/>
    <w:rsid w:val="000D4C11"/>
    <w:rsid w:val="000D7EBF"/>
    <w:rsid w:val="000F61BB"/>
    <w:rsid w:val="00111CA4"/>
    <w:rsid w:val="001150E8"/>
    <w:rsid w:val="0011523C"/>
    <w:rsid w:val="00115B35"/>
    <w:rsid w:val="00115F7E"/>
    <w:rsid w:val="00120078"/>
    <w:rsid w:val="00121889"/>
    <w:rsid w:val="001253E9"/>
    <w:rsid w:val="001333C7"/>
    <w:rsid w:val="00136A60"/>
    <w:rsid w:val="001734CD"/>
    <w:rsid w:val="00176B50"/>
    <w:rsid w:val="00183CBD"/>
    <w:rsid w:val="001921E4"/>
    <w:rsid w:val="001962FD"/>
    <w:rsid w:val="00197695"/>
    <w:rsid w:val="001B5762"/>
    <w:rsid w:val="001B6794"/>
    <w:rsid w:val="001B67A1"/>
    <w:rsid w:val="001B7ACA"/>
    <w:rsid w:val="001C0544"/>
    <w:rsid w:val="001C3900"/>
    <w:rsid w:val="001C561E"/>
    <w:rsid w:val="001C7245"/>
    <w:rsid w:val="001F3948"/>
    <w:rsid w:val="001F786F"/>
    <w:rsid w:val="0020519B"/>
    <w:rsid w:val="00205BC5"/>
    <w:rsid w:val="00205E46"/>
    <w:rsid w:val="0021251B"/>
    <w:rsid w:val="002156A6"/>
    <w:rsid w:val="00217B64"/>
    <w:rsid w:val="0024116F"/>
    <w:rsid w:val="00245172"/>
    <w:rsid w:val="002665AA"/>
    <w:rsid w:val="002875EB"/>
    <w:rsid w:val="002930B4"/>
    <w:rsid w:val="002A2FC6"/>
    <w:rsid w:val="002A44EC"/>
    <w:rsid w:val="002B4C49"/>
    <w:rsid w:val="002B52C0"/>
    <w:rsid w:val="002B7D7C"/>
    <w:rsid w:val="002C1659"/>
    <w:rsid w:val="002F0CF3"/>
    <w:rsid w:val="002F1B73"/>
    <w:rsid w:val="002F2DFC"/>
    <w:rsid w:val="00311358"/>
    <w:rsid w:val="00314EF3"/>
    <w:rsid w:val="0032071A"/>
    <w:rsid w:val="00323BD9"/>
    <w:rsid w:val="0032494F"/>
    <w:rsid w:val="00326374"/>
    <w:rsid w:val="00335088"/>
    <w:rsid w:val="00350E79"/>
    <w:rsid w:val="00354602"/>
    <w:rsid w:val="00362EF7"/>
    <w:rsid w:val="00363F93"/>
    <w:rsid w:val="00374D6F"/>
    <w:rsid w:val="00383891"/>
    <w:rsid w:val="00384BFF"/>
    <w:rsid w:val="00396599"/>
    <w:rsid w:val="003B4AC3"/>
    <w:rsid w:val="003D3A58"/>
    <w:rsid w:val="003E7E92"/>
    <w:rsid w:val="00407552"/>
    <w:rsid w:val="00413F2A"/>
    <w:rsid w:val="00420C37"/>
    <w:rsid w:val="00440091"/>
    <w:rsid w:val="00452B50"/>
    <w:rsid w:val="00462B9F"/>
    <w:rsid w:val="0046608A"/>
    <w:rsid w:val="00482684"/>
    <w:rsid w:val="004915FE"/>
    <w:rsid w:val="00494AEF"/>
    <w:rsid w:val="004B392D"/>
    <w:rsid w:val="004B5A0A"/>
    <w:rsid w:val="004D23EF"/>
    <w:rsid w:val="004D55DF"/>
    <w:rsid w:val="004E40FA"/>
    <w:rsid w:val="004E47E0"/>
    <w:rsid w:val="004F0985"/>
    <w:rsid w:val="004F4493"/>
    <w:rsid w:val="004F46DC"/>
    <w:rsid w:val="004F7AC5"/>
    <w:rsid w:val="0050011B"/>
    <w:rsid w:val="005043DE"/>
    <w:rsid w:val="00506CBA"/>
    <w:rsid w:val="0052054C"/>
    <w:rsid w:val="00532B8C"/>
    <w:rsid w:val="0053749D"/>
    <w:rsid w:val="00540AF0"/>
    <w:rsid w:val="00540DD3"/>
    <w:rsid w:val="0054775B"/>
    <w:rsid w:val="0055243B"/>
    <w:rsid w:val="00556159"/>
    <w:rsid w:val="0056193E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B1182"/>
    <w:rsid w:val="005C2BD9"/>
    <w:rsid w:val="005D1C55"/>
    <w:rsid w:val="005F2EDB"/>
    <w:rsid w:val="005F432C"/>
    <w:rsid w:val="005F6092"/>
    <w:rsid w:val="005F6514"/>
    <w:rsid w:val="00601C33"/>
    <w:rsid w:val="00607330"/>
    <w:rsid w:val="00612E3D"/>
    <w:rsid w:val="0061613F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95CCB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54FCA"/>
    <w:rsid w:val="00774665"/>
    <w:rsid w:val="007755F0"/>
    <w:rsid w:val="00780F53"/>
    <w:rsid w:val="0078717D"/>
    <w:rsid w:val="00795922"/>
    <w:rsid w:val="007C44FC"/>
    <w:rsid w:val="007D4C6D"/>
    <w:rsid w:val="007E150A"/>
    <w:rsid w:val="007E6D6F"/>
    <w:rsid w:val="007F7BA0"/>
    <w:rsid w:val="008125E6"/>
    <w:rsid w:val="00835799"/>
    <w:rsid w:val="00850E59"/>
    <w:rsid w:val="0085485F"/>
    <w:rsid w:val="008556B9"/>
    <w:rsid w:val="0085661D"/>
    <w:rsid w:val="008602BF"/>
    <w:rsid w:val="00894E03"/>
    <w:rsid w:val="008A216F"/>
    <w:rsid w:val="008B2132"/>
    <w:rsid w:val="008B37EB"/>
    <w:rsid w:val="008B7F36"/>
    <w:rsid w:val="008C552E"/>
    <w:rsid w:val="008D015E"/>
    <w:rsid w:val="008E3455"/>
    <w:rsid w:val="008E50AB"/>
    <w:rsid w:val="008E5967"/>
    <w:rsid w:val="008F18DB"/>
    <w:rsid w:val="00925BFC"/>
    <w:rsid w:val="0095389B"/>
    <w:rsid w:val="0095543A"/>
    <w:rsid w:val="009576C5"/>
    <w:rsid w:val="00957747"/>
    <w:rsid w:val="00972647"/>
    <w:rsid w:val="00974A1B"/>
    <w:rsid w:val="00980D81"/>
    <w:rsid w:val="00995C59"/>
    <w:rsid w:val="00997648"/>
    <w:rsid w:val="009A320B"/>
    <w:rsid w:val="009A4F97"/>
    <w:rsid w:val="009B6016"/>
    <w:rsid w:val="009B708A"/>
    <w:rsid w:val="009C153C"/>
    <w:rsid w:val="009C68BE"/>
    <w:rsid w:val="009C7216"/>
    <w:rsid w:val="009D26E3"/>
    <w:rsid w:val="009D788B"/>
    <w:rsid w:val="009E0FE7"/>
    <w:rsid w:val="009E1461"/>
    <w:rsid w:val="00A15341"/>
    <w:rsid w:val="00A257E8"/>
    <w:rsid w:val="00A41756"/>
    <w:rsid w:val="00A8165E"/>
    <w:rsid w:val="00AB250E"/>
    <w:rsid w:val="00AB418C"/>
    <w:rsid w:val="00AB69B1"/>
    <w:rsid w:val="00AC5BCE"/>
    <w:rsid w:val="00AE24DB"/>
    <w:rsid w:val="00AE574F"/>
    <w:rsid w:val="00B06B18"/>
    <w:rsid w:val="00B1353D"/>
    <w:rsid w:val="00B34514"/>
    <w:rsid w:val="00B402F1"/>
    <w:rsid w:val="00B435D5"/>
    <w:rsid w:val="00B52927"/>
    <w:rsid w:val="00B607F4"/>
    <w:rsid w:val="00B60C1F"/>
    <w:rsid w:val="00B65874"/>
    <w:rsid w:val="00B74141"/>
    <w:rsid w:val="00B7543C"/>
    <w:rsid w:val="00B87286"/>
    <w:rsid w:val="00B97DBB"/>
    <w:rsid w:val="00BA7DD9"/>
    <w:rsid w:val="00BB0243"/>
    <w:rsid w:val="00BC1878"/>
    <w:rsid w:val="00BC74C8"/>
    <w:rsid w:val="00BD1FDD"/>
    <w:rsid w:val="00BF222D"/>
    <w:rsid w:val="00BF44C7"/>
    <w:rsid w:val="00C14D61"/>
    <w:rsid w:val="00C16F15"/>
    <w:rsid w:val="00C55E7D"/>
    <w:rsid w:val="00C6450D"/>
    <w:rsid w:val="00C65278"/>
    <w:rsid w:val="00C709AE"/>
    <w:rsid w:val="00C73087"/>
    <w:rsid w:val="00C930CF"/>
    <w:rsid w:val="00C9558C"/>
    <w:rsid w:val="00C96C96"/>
    <w:rsid w:val="00CB1FC2"/>
    <w:rsid w:val="00CB213E"/>
    <w:rsid w:val="00CB748C"/>
    <w:rsid w:val="00CC21C5"/>
    <w:rsid w:val="00CD6E55"/>
    <w:rsid w:val="00CE1A56"/>
    <w:rsid w:val="00CE3BCD"/>
    <w:rsid w:val="00CE476E"/>
    <w:rsid w:val="00CE7AC3"/>
    <w:rsid w:val="00CF758F"/>
    <w:rsid w:val="00D0219C"/>
    <w:rsid w:val="00D02C2A"/>
    <w:rsid w:val="00D23C98"/>
    <w:rsid w:val="00D30167"/>
    <w:rsid w:val="00D359AB"/>
    <w:rsid w:val="00D401F2"/>
    <w:rsid w:val="00D45457"/>
    <w:rsid w:val="00D50C63"/>
    <w:rsid w:val="00D6251F"/>
    <w:rsid w:val="00D63A75"/>
    <w:rsid w:val="00D72A8B"/>
    <w:rsid w:val="00D72DCC"/>
    <w:rsid w:val="00D7527B"/>
    <w:rsid w:val="00D80859"/>
    <w:rsid w:val="00D8201D"/>
    <w:rsid w:val="00D84AF8"/>
    <w:rsid w:val="00D852B3"/>
    <w:rsid w:val="00D91C34"/>
    <w:rsid w:val="00D92EFF"/>
    <w:rsid w:val="00D9532B"/>
    <w:rsid w:val="00DA13E6"/>
    <w:rsid w:val="00DA2ECC"/>
    <w:rsid w:val="00DA3E49"/>
    <w:rsid w:val="00DA6CB4"/>
    <w:rsid w:val="00DA79CC"/>
    <w:rsid w:val="00DB5181"/>
    <w:rsid w:val="00DB630A"/>
    <w:rsid w:val="00DB7D6C"/>
    <w:rsid w:val="00DD0FDE"/>
    <w:rsid w:val="00DD49DE"/>
    <w:rsid w:val="00DD648D"/>
    <w:rsid w:val="00DE227B"/>
    <w:rsid w:val="00DE3330"/>
    <w:rsid w:val="00DF579F"/>
    <w:rsid w:val="00E114B7"/>
    <w:rsid w:val="00E2566D"/>
    <w:rsid w:val="00E31F3B"/>
    <w:rsid w:val="00E327F2"/>
    <w:rsid w:val="00E40E2B"/>
    <w:rsid w:val="00E43AB7"/>
    <w:rsid w:val="00E71D54"/>
    <w:rsid w:val="00E75981"/>
    <w:rsid w:val="00E772B9"/>
    <w:rsid w:val="00E80D92"/>
    <w:rsid w:val="00E865D6"/>
    <w:rsid w:val="00E86C2D"/>
    <w:rsid w:val="00E87038"/>
    <w:rsid w:val="00EA6639"/>
    <w:rsid w:val="00EB1379"/>
    <w:rsid w:val="00EB444B"/>
    <w:rsid w:val="00ED3823"/>
    <w:rsid w:val="00ED7908"/>
    <w:rsid w:val="00EF25AE"/>
    <w:rsid w:val="00F10B67"/>
    <w:rsid w:val="00F258F9"/>
    <w:rsid w:val="00F26034"/>
    <w:rsid w:val="00F44221"/>
    <w:rsid w:val="00F4622D"/>
    <w:rsid w:val="00F47CA5"/>
    <w:rsid w:val="00F771B7"/>
    <w:rsid w:val="00F77C15"/>
    <w:rsid w:val="00F8139F"/>
    <w:rsid w:val="00F8304C"/>
    <w:rsid w:val="00F8447E"/>
    <w:rsid w:val="00F91BED"/>
    <w:rsid w:val="00FA20E1"/>
    <w:rsid w:val="00FA304C"/>
    <w:rsid w:val="00FA346C"/>
    <w:rsid w:val="00FB25D6"/>
    <w:rsid w:val="00FF47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1404735C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CE476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75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F75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F75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75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758F"/>
    <w:rPr>
      <w:b/>
      <w:bCs/>
      <w:sz w:val="20"/>
      <w:szCs w:val="20"/>
    </w:rPr>
  </w:style>
  <w:style w:type="paragraph" w:styleId="NurText">
    <w:name w:val="Plain Text"/>
    <w:basedOn w:val="Standard"/>
    <w:link w:val="NurTextZchn"/>
    <w:uiPriority w:val="99"/>
    <w:semiHidden/>
    <w:unhideWhenUsed/>
    <w:rsid w:val="00695CCB"/>
    <w:pPr>
      <w:spacing w:after="0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695CC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FBE06B-DE76-44A0-97A6-27ED69801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Neukamp, Rebecca</cp:lastModifiedBy>
  <cp:revision>8</cp:revision>
  <cp:lastPrinted>2022-09-30T11:40:00Z</cp:lastPrinted>
  <dcterms:created xsi:type="dcterms:W3CDTF">2022-09-30T09:49:00Z</dcterms:created>
  <dcterms:modified xsi:type="dcterms:W3CDTF">2022-09-30T11:41:00Z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