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5A73CAB3"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953AE4">
        <w:rPr>
          <w:rFonts w:ascii="Arial" w:eastAsia="Times New Roman" w:hAnsi="Arial" w:cs="Times New Roman"/>
          <w:b/>
          <w:szCs w:val="20"/>
          <w:u w:val="single"/>
          <w:lang w:eastAsia="de-DE"/>
        </w:rPr>
        <w:t xml:space="preserve">Änderung des IfSG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33C17564" w14:textId="57384C6D" w:rsidR="00953AE4" w:rsidRPr="00462B9F" w:rsidRDefault="00C3183B" w:rsidP="00CE4837">
      <w:pPr>
        <w:spacing w:after="0" w:line="340" w:lineRule="atLeast"/>
        <w:ind w:right="2268"/>
        <w:rPr>
          <w:rFonts w:ascii="Arial" w:hAnsi="Arial" w:cs="Arial"/>
          <w:b/>
          <w:sz w:val="32"/>
          <w:szCs w:val="32"/>
        </w:rPr>
      </w:pPr>
      <w:r>
        <w:rPr>
          <w:rFonts w:ascii="Arial" w:hAnsi="Arial" w:cs="Arial"/>
          <w:b/>
          <w:sz w:val="32"/>
          <w:szCs w:val="32"/>
        </w:rPr>
        <w:t>Sinnlose tägliche Massentests würden Krankenhäuser massiv belasten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0C65A5C7" w14:textId="247DD773" w:rsidR="00454EA4"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A4147">
        <w:rPr>
          <w:rFonts w:ascii="Arial" w:eastAsia="Times New Roman" w:hAnsi="Arial" w:cs="Arial"/>
          <w:noProof/>
          <w:lang w:eastAsia="de-DE"/>
        </w:rPr>
        <w:t>29. August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C54C56">
        <w:rPr>
          <w:rFonts w:ascii="Arial" w:eastAsia="Times New Roman" w:hAnsi="Arial" w:cs="Arial"/>
          <w:bCs/>
          <w:lang w:eastAsia="de-DE"/>
        </w:rPr>
        <w:t>Die Deutsche Krankenhausgesellschaft (DKG) kritisiert die von den Koalitionsfraktionen vorgelegten Änderung</w:t>
      </w:r>
      <w:r w:rsidR="00953AE4">
        <w:rPr>
          <w:rFonts w:ascii="Arial" w:eastAsia="Times New Roman" w:hAnsi="Arial" w:cs="Arial"/>
          <w:bCs/>
          <w:lang w:eastAsia="de-DE"/>
        </w:rPr>
        <w:t>santräge</w:t>
      </w:r>
      <w:r w:rsidR="00C54C56">
        <w:rPr>
          <w:rFonts w:ascii="Arial" w:eastAsia="Times New Roman" w:hAnsi="Arial" w:cs="Arial"/>
          <w:bCs/>
          <w:lang w:eastAsia="de-DE"/>
        </w:rPr>
        <w:t xml:space="preserve"> zum Infektionsschutzgesetz scharf. Insbesondere die </w:t>
      </w:r>
      <w:r w:rsidR="00953AE4">
        <w:rPr>
          <w:rFonts w:ascii="Arial" w:eastAsia="Times New Roman" w:hAnsi="Arial" w:cs="Arial"/>
          <w:bCs/>
          <w:lang w:eastAsia="de-DE"/>
        </w:rPr>
        <w:t xml:space="preserve">verschärften </w:t>
      </w:r>
      <w:r w:rsidR="00C54C56">
        <w:rPr>
          <w:rFonts w:ascii="Arial" w:eastAsia="Times New Roman" w:hAnsi="Arial" w:cs="Arial"/>
          <w:bCs/>
          <w:lang w:eastAsia="de-DE"/>
        </w:rPr>
        <w:t>Testverpflichtungen in Krankenhäuser</w:t>
      </w:r>
      <w:r w:rsidR="00953AE4">
        <w:rPr>
          <w:rFonts w:ascii="Arial" w:eastAsia="Times New Roman" w:hAnsi="Arial" w:cs="Arial"/>
          <w:bCs/>
          <w:lang w:eastAsia="de-DE"/>
        </w:rPr>
        <w:t>n</w:t>
      </w:r>
      <w:r w:rsidR="00C54C56">
        <w:rPr>
          <w:rFonts w:ascii="Arial" w:eastAsia="Times New Roman" w:hAnsi="Arial" w:cs="Arial"/>
          <w:bCs/>
          <w:lang w:eastAsia="de-DE"/>
        </w:rPr>
        <w:t xml:space="preserve"> sind in der Praxis nicht umsetzbar. </w:t>
      </w:r>
      <w:r w:rsidR="001473D1">
        <w:rPr>
          <w:rFonts w:ascii="Arial" w:eastAsia="Times New Roman" w:hAnsi="Arial" w:cs="Arial"/>
          <w:bCs/>
          <w:lang w:eastAsia="de-DE"/>
        </w:rPr>
        <w:t xml:space="preserve">Alle, die im Krankenhaus tätig sind, sämtliche Beschäftigte, externe Dienstleister bis hin zum Postboten sollen künftig täglich einen negativen Test vorlegen müssen, um ihrer Arbeit nachzugehen. </w:t>
      </w:r>
    </w:p>
    <w:p w14:paraId="62463540" w14:textId="28F0B79C" w:rsidR="00C54C56" w:rsidRDefault="00C54C56"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Dazu erklärt der Vorstandsvorsitzende der DKG, Dr. Gerald Gaß:</w:t>
      </w:r>
      <w:r w:rsidR="00454EA4">
        <w:rPr>
          <w:rFonts w:ascii="Arial" w:eastAsia="Times New Roman" w:hAnsi="Arial" w:cs="Arial"/>
          <w:bCs/>
          <w:lang w:eastAsia="de-DE"/>
        </w:rPr>
        <w:t xml:space="preserve"> </w:t>
      </w:r>
      <w:r>
        <w:rPr>
          <w:rFonts w:ascii="Arial" w:eastAsia="Times New Roman" w:hAnsi="Arial" w:cs="Arial"/>
          <w:bCs/>
          <w:lang w:eastAsia="de-DE"/>
        </w:rPr>
        <w:t>„</w:t>
      </w:r>
      <w:r w:rsidR="00C3183B">
        <w:rPr>
          <w:rFonts w:ascii="Arial" w:eastAsia="Times New Roman" w:hAnsi="Arial" w:cs="Arial"/>
          <w:bCs/>
          <w:lang w:eastAsia="de-DE"/>
        </w:rPr>
        <w:t>Dieser Wahnsinn muss gestoppt werden. A</w:t>
      </w:r>
      <w:r w:rsidR="0053198A">
        <w:rPr>
          <w:rFonts w:ascii="Arial" w:eastAsia="Times New Roman" w:hAnsi="Arial" w:cs="Arial"/>
          <w:bCs/>
          <w:lang w:eastAsia="de-DE"/>
        </w:rPr>
        <w:t xml:space="preserve">uch </w:t>
      </w:r>
      <w:r w:rsidR="00953AE4">
        <w:rPr>
          <w:rFonts w:ascii="Arial" w:eastAsia="Times New Roman" w:hAnsi="Arial" w:cs="Arial"/>
          <w:bCs/>
          <w:lang w:eastAsia="de-DE"/>
        </w:rPr>
        <w:t>vollständig Geimpfte</w:t>
      </w:r>
      <w:r w:rsidR="00C3183B">
        <w:rPr>
          <w:rFonts w:ascii="Arial" w:eastAsia="Times New Roman" w:hAnsi="Arial" w:cs="Arial"/>
          <w:bCs/>
          <w:lang w:eastAsia="de-DE"/>
        </w:rPr>
        <w:t xml:space="preserve"> und Genesene</w:t>
      </w:r>
      <w:r w:rsidR="007E63A2">
        <w:rPr>
          <w:rFonts w:ascii="Arial" w:eastAsia="Times New Roman" w:hAnsi="Arial" w:cs="Arial"/>
          <w:bCs/>
          <w:lang w:eastAsia="de-DE"/>
        </w:rPr>
        <w:t xml:space="preserve"> </w:t>
      </w:r>
      <w:r w:rsidR="00C3183B">
        <w:rPr>
          <w:rFonts w:ascii="Arial" w:eastAsia="Times New Roman" w:hAnsi="Arial" w:cs="Arial"/>
          <w:bCs/>
          <w:lang w:eastAsia="de-DE"/>
        </w:rPr>
        <w:t>sollen künftig dieser</w:t>
      </w:r>
      <w:r w:rsidR="007E63A2">
        <w:rPr>
          <w:rFonts w:ascii="Arial" w:eastAsia="Times New Roman" w:hAnsi="Arial" w:cs="Arial"/>
          <w:bCs/>
          <w:lang w:eastAsia="de-DE"/>
        </w:rPr>
        <w:t xml:space="preserve"> täglichen Testpflicht</w:t>
      </w:r>
      <w:r w:rsidR="00C3183B">
        <w:rPr>
          <w:rFonts w:ascii="Arial" w:eastAsia="Times New Roman" w:hAnsi="Arial" w:cs="Arial"/>
          <w:bCs/>
          <w:lang w:eastAsia="de-DE"/>
        </w:rPr>
        <w:t xml:space="preserve"> unterliegen</w:t>
      </w:r>
      <w:r w:rsidR="007E63A2">
        <w:rPr>
          <w:rFonts w:ascii="Arial" w:eastAsia="Times New Roman" w:hAnsi="Arial" w:cs="Arial"/>
          <w:bCs/>
          <w:lang w:eastAsia="de-DE"/>
        </w:rPr>
        <w:t xml:space="preserve">. Bei einer Impfquote von rund 95 Prozent unter den medizinischen und pflegerischen Mitarbeiterinnen und Mitarbeitern bedeutet das einen Mehraufwand, der für die Krankenhäuser nicht mehr zu stemmen ist. </w:t>
      </w:r>
      <w:r w:rsidR="001473D1">
        <w:rPr>
          <w:rFonts w:ascii="Arial" w:eastAsia="Times New Roman" w:hAnsi="Arial" w:cs="Arial"/>
          <w:bCs/>
          <w:lang w:eastAsia="de-DE"/>
        </w:rPr>
        <w:t>Der bisherige Infektionsschutz in den Kliniken funktioniert hervorragend. Krankenhäuser sind kein Ort an dem sich Patienten oder Beschäftigte anstecken. Es gibt absolut keinen Anlass für eine derart</w:t>
      </w:r>
      <w:r w:rsidR="00CE4837">
        <w:rPr>
          <w:rFonts w:ascii="Arial" w:eastAsia="Times New Roman" w:hAnsi="Arial" w:cs="Arial"/>
          <w:bCs/>
          <w:lang w:eastAsia="de-DE"/>
        </w:rPr>
        <w:t>i</w:t>
      </w:r>
      <w:r w:rsidR="001473D1">
        <w:rPr>
          <w:rFonts w:ascii="Arial" w:eastAsia="Times New Roman" w:hAnsi="Arial" w:cs="Arial"/>
          <w:bCs/>
          <w:lang w:eastAsia="de-DE"/>
        </w:rPr>
        <w:t xml:space="preserve">ge Verschärfung. </w:t>
      </w:r>
      <w:r w:rsidR="00953AE4">
        <w:rPr>
          <w:rFonts w:ascii="Arial" w:eastAsia="Times New Roman" w:hAnsi="Arial" w:cs="Arial"/>
          <w:bCs/>
          <w:lang w:eastAsia="de-DE"/>
        </w:rPr>
        <w:t xml:space="preserve">Für </w:t>
      </w:r>
      <w:r w:rsidR="009F1D69">
        <w:rPr>
          <w:rFonts w:ascii="Arial" w:eastAsia="Times New Roman" w:hAnsi="Arial" w:cs="Arial"/>
          <w:bCs/>
          <w:lang w:eastAsia="de-DE"/>
        </w:rPr>
        <w:t>ambulante Pflegedienste</w:t>
      </w:r>
      <w:r w:rsidR="00953AE4">
        <w:rPr>
          <w:rFonts w:ascii="Arial" w:eastAsia="Times New Roman" w:hAnsi="Arial" w:cs="Arial"/>
          <w:bCs/>
          <w:lang w:eastAsia="de-DE"/>
        </w:rPr>
        <w:t xml:space="preserve"> sieht das Gesetz die Möglichkeit zur Selbsttestung zuhause vor, für Krankenhaus-Beschäftigte leider nicht. </w:t>
      </w:r>
      <w:r>
        <w:rPr>
          <w:rFonts w:ascii="Arial" w:eastAsia="Times New Roman" w:hAnsi="Arial" w:cs="Arial"/>
          <w:bCs/>
          <w:lang w:eastAsia="de-DE"/>
        </w:rPr>
        <w:t xml:space="preserve">In großen Kliniken müssten </w:t>
      </w:r>
      <w:r w:rsidR="00953AE4">
        <w:rPr>
          <w:rFonts w:ascii="Arial" w:eastAsia="Times New Roman" w:hAnsi="Arial" w:cs="Arial"/>
          <w:bCs/>
          <w:lang w:eastAsia="de-DE"/>
        </w:rPr>
        <w:t xml:space="preserve">so </w:t>
      </w:r>
      <w:r>
        <w:rPr>
          <w:rFonts w:ascii="Arial" w:eastAsia="Times New Roman" w:hAnsi="Arial" w:cs="Arial"/>
          <w:bCs/>
          <w:lang w:eastAsia="de-DE"/>
        </w:rPr>
        <w:t>bei jedem Schichtwechsel hunderte Personen auf einen Test überprüft werden</w:t>
      </w:r>
      <w:r w:rsidR="007E63A2">
        <w:rPr>
          <w:rFonts w:ascii="Arial" w:eastAsia="Times New Roman" w:hAnsi="Arial" w:cs="Arial"/>
          <w:bCs/>
          <w:lang w:eastAsia="de-DE"/>
        </w:rPr>
        <w:t xml:space="preserve"> – das alles unter den Bedingungen einer ohnehin ausufernden Bürokratie und chronischem Personalmangel.</w:t>
      </w:r>
      <w:r w:rsidR="00953AE4">
        <w:rPr>
          <w:rFonts w:ascii="Arial" w:eastAsia="Times New Roman" w:hAnsi="Arial" w:cs="Arial"/>
          <w:bCs/>
          <w:lang w:eastAsia="de-DE"/>
        </w:rPr>
        <w:t xml:space="preserve"> </w:t>
      </w:r>
      <w:r w:rsidR="007E63A2">
        <w:rPr>
          <w:rFonts w:ascii="Arial" w:eastAsia="Times New Roman" w:hAnsi="Arial" w:cs="Arial"/>
          <w:bCs/>
          <w:lang w:eastAsia="de-DE"/>
        </w:rPr>
        <w:t xml:space="preserve">Neben den nicht umsetzbaren Regeln lässt sich auch eine weitere Inkonsistenz im Gesetz nicht verschweigen: Unbeirrt hält der Minister an der einrichtungsbezogenen Impfpflicht fest, obwohl nun auch Geimpfte der Testpflicht unterliegen sollen. In der Logik der Impfpflicht ergibt das keinen Sinn, sie muss sofort ausgesetzt werden. </w:t>
      </w:r>
      <w:r w:rsidR="00953AE4">
        <w:rPr>
          <w:rFonts w:ascii="Arial" w:eastAsia="Times New Roman" w:hAnsi="Arial" w:cs="Arial"/>
          <w:bCs/>
          <w:lang w:eastAsia="de-DE"/>
        </w:rPr>
        <w:t xml:space="preserve">Wir fordern die Koalitionsfraktionen auf, die nicht mehr tragbaren Verschärfungen bei der Testpflicht zurückzunehmen und auf den Boden der Wirklichkeit zurückzukehren. </w:t>
      </w:r>
    </w:p>
    <w:p w14:paraId="6E9E1B90" w14:textId="7522F772" w:rsidR="007E63A2" w:rsidRDefault="007E63A2"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lastRenderedPageBreak/>
        <w:t>D</w:t>
      </w:r>
      <w:r w:rsidR="001732EB">
        <w:rPr>
          <w:rFonts w:ascii="Arial" w:eastAsia="Times New Roman" w:hAnsi="Arial" w:cs="Arial"/>
          <w:bCs/>
          <w:lang w:eastAsia="de-DE"/>
        </w:rPr>
        <w:t xml:space="preserve">ass auch die vorliegenden Änderungsanträge wieder an der Realität in den Krankenhäusern vorbeigehen, mag auch an der Art und Weise liegen, wie Gesetze der Gesundheitspolitik seit einiger Zeit vorgelegt werden. Leider </w:t>
      </w:r>
      <w:r w:rsidR="00C3183B">
        <w:rPr>
          <w:rFonts w:ascii="Arial" w:eastAsia="Times New Roman" w:hAnsi="Arial" w:cs="Arial"/>
          <w:bCs/>
          <w:lang w:eastAsia="de-DE"/>
        </w:rPr>
        <w:t xml:space="preserve">setzt die Politik erneut auf unausgegorene Schnellschüsse. Auch diesmal </w:t>
      </w:r>
      <w:r w:rsidR="001732EB">
        <w:rPr>
          <w:rFonts w:ascii="Arial" w:eastAsia="Times New Roman" w:hAnsi="Arial" w:cs="Arial"/>
          <w:bCs/>
          <w:lang w:eastAsia="de-DE"/>
        </w:rPr>
        <w:t xml:space="preserve">war wieder keine Zeit, dass sich Fachverbände mit ihrer Expertise äußern. </w:t>
      </w:r>
      <w:r w:rsidR="00953AE4">
        <w:rPr>
          <w:rFonts w:ascii="Arial" w:eastAsia="Times New Roman" w:hAnsi="Arial" w:cs="Arial"/>
          <w:bCs/>
          <w:lang w:eastAsia="de-DE"/>
        </w:rPr>
        <w:t xml:space="preserve">Wir wünschen uns hier im Sinne guter und funktionierender Gesetzgebung einen anderen Stil.“ </w:t>
      </w: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5664" w14:textId="77777777" w:rsidR="00E15F23" w:rsidRDefault="00E15F23" w:rsidP="008125E6">
      <w:pPr>
        <w:spacing w:after="0"/>
      </w:pPr>
      <w:r>
        <w:separator/>
      </w:r>
    </w:p>
  </w:endnote>
  <w:endnote w:type="continuationSeparator" w:id="0">
    <w:p w14:paraId="2BBE8843" w14:textId="77777777" w:rsidR="00E15F23" w:rsidRDefault="00E15F2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4038" w14:textId="77777777" w:rsidR="00E15F23" w:rsidRDefault="00E15F23" w:rsidP="008125E6">
      <w:pPr>
        <w:spacing w:after="0"/>
      </w:pPr>
      <w:r>
        <w:separator/>
      </w:r>
    </w:p>
  </w:footnote>
  <w:footnote w:type="continuationSeparator" w:id="0">
    <w:p w14:paraId="06166BBF" w14:textId="77777777" w:rsidR="00E15F23" w:rsidRDefault="00E15F2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473D1"/>
    <w:rsid w:val="001732EB"/>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54EA4"/>
    <w:rsid w:val="00462B9F"/>
    <w:rsid w:val="0046608A"/>
    <w:rsid w:val="00482684"/>
    <w:rsid w:val="004915FE"/>
    <w:rsid w:val="004B392D"/>
    <w:rsid w:val="004B5A0A"/>
    <w:rsid w:val="004E40FA"/>
    <w:rsid w:val="004E47E0"/>
    <w:rsid w:val="004F0985"/>
    <w:rsid w:val="004F46DC"/>
    <w:rsid w:val="0052054C"/>
    <w:rsid w:val="0053198A"/>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7E63A2"/>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3AE4"/>
    <w:rsid w:val="0095543A"/>
    <w:rsid w:val="00957747"/>
    <w:rsid w:val="00972647"/>
    <w:rsid w:val="00974A1B"/>
    <w:rsid w:val="00980D81"/>
    <w:rsid w:val="00995C59"/>
    <w:rsid w:val="00997648"/>
    <w:rsid w:val="009A320B"/>
    <w:rsid w:val="009A4F97"/>
    <w:rsid w:val="009C153C"/>
    <w:rsid w:val="009D26E3"/>
    <w:rsid w:val="009D788B"/>
    <w:rsid w:val="009E0FE7"/>
    <w:rsid w:val="009E133F"/>
    <w:rsid w:val="009F1D69"/>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3183B"/>
    <w:rsid w:val="00C54C56"/>
    <w:rsid w:val="00C55E7D"/>
    <w:rsid w:val="00C930CF"/>
    <w:rsid w:val="00C9558C"/>
    <w:rsid w:val="00C96C96"/>
    <w:rsid w:val="00CB748C"/>
    <w:rsid w:val="00CC21C5"/>
    <w:rsid w:val="00CD6E55"/>
    <w:rsid w:val="00CE1A56"/>
    <w:rsid w:val="00CE4837"/>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15F23"/>
    <w:rsid w:val="00E31F3B"/>
    <w:rsid w:val="00E40E2B"/>
    <w:rsid w:val="00E43AB7"/>
    <w:rsid w:val="00E71D54"/>
    <w:rsid w:val="00E80D92"/>
    <w:rsid w:val="00E865D6"/>
    <w:rsid w:val="00E87038"/>
    <w:rsid w:val="00EA4147"/>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57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6E06-B96D-4C2D-BD6C-D8F869AE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6</cp:revision>
  <cp:lastPrinted>2022-08-29T13:35:00Z</cp:lastPrinted>
  <dcterms:created xsi:type="dcterms:W3CDTF">2022-08-29T13:22:00Z</dcterms:created>
  <dcterms:modified xsi:type="dcterms:W3CDTF">2022-08-29T13:35:00Z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