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C331ED">
        <w:rPr>
          <w:rFonts w:ascii="Arial" w:eastAsia="Times New Roman" w:hAnsi="Arial" w:cs="Times New Roman"/>
          <w:b/>
          <w:szCs w:val="20"/>
          <w:u w:val="single"/>
          <w:lang w:eastAsia="de-DE"/>
        </w:rPr>
        <w:t>m</w:t>
      </w:r>
      <w:r w:rsidR="007F18F5">
        <w:rPr>
          <w:rFonts w:ascii="Arial" w:eastAsia="Times New Roman" w:hAnsi="Arial" w:cs="Times New Roman"/>
          <w:b/>
          <w:szCs w:val="20"/>
          <w:u w:val="single"/>
          <w:lang w:eastAsia="de-DE"/>
        </w:rPr>
        <w:t xml:space="preserve"> Sondergutachten der Monopolkommission</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7F18F5" w:rsidP="001962FD">
      <w:pPr>
        <w:spacing w:after="0" w:line="340" w:lineRule="atLeast"/>
        <w:ind w:right="2268"/>
        <w:jc w:val="both"/>
        <w:rPr>
          <w:rFonts w:ascii="Arial" w:hAnsi="Arial" w:cs="Arial"/>
          <w:b/>
          <w:sz w:val="32"/>
          <w:szCs w:val="32"/>
        </w:rPr>
      </w:pPr>
      <w:r>
        <w:rPr>
          <w:rFonts w:ascii="Arial" w:hAnsi="Arial" w:cs="Arial"/>
          <w:b/>
          <w:sz w:val="32"/>
          <w:szCs w:val="32"/>
        </w:rPr>
        <w:t>Gesundheit ist kein normales Wirtschaftsgut</w:t>
      </w:r>
    </w:p>
    <w:p w:rsidR="001962FD" w:rsidRPr="00633E3A" w:rsidRDefault="001962FD" w:rsidP="001962FD">
      <w:pPr>
        <w:spacing w:after="0" w:line="340" w:lineRule="atLeast"/>
        <w:ind w:right="2268"/>
        <w:jc w:val="both"/>
        <w:rPr>
          <w:rFonts w:ascii="Arial" w:eastAsia="Times New Roman" w:hAnsi="Arial" w:cs="Times New Roman"/>
          <w:lang w:eastAsia="de-DE"/>
        </w:rPr>
      </w:pPr>
      <w:bookmarkStart w:id="0" w:name="_GoBack"/>
      <w:bookmarkEnd w:id="0"/>
    </w:p>
    <w:p w:rsidR="0070679D" w:rsidRPr="0070679D" w:rsidRDefault="00D30167" w:rsidP="0070679D">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CF3E7F">
        <w:rPr>
          <w:rFonts w:ascii="Arial" w:eastAsia="Times New Roman" w:hAnsi="Arial" w:cs="Arial"/>
          <w:noProof/>
          <w:lang w:eastAsia="de-DE"/>
        </w:rPr>
        <w:t>30. Mai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98663D" w:rsidRPr="0070679D">
        <w:rPr>
          <w:rFonts w:ascii="Arial" w:eastAsia="Times New Roman" w:hAnsi="Arial" w:cs="Arial"/>
          <w:bCs/>
          <w:lang w:eastAsia="de-DE"/>
        </w:rPr>
        <w:t xml:space="preserve">Die Deutsche Krankenhausgesellschaft (DKG) </w:t>
      </w:r>
      <w:r w:rsidR="0070679D" w:rsidRPr="0070679D">
        <w:rPr>
          <w:rFonts w:ascii="Arial" w:eastAsia="Times New Roman" w:hAnsi="Arial" w:cs="Arial"/>
          <w:bCs/>
          <w:lang w:eastAsia="de-DE"/>
        </w:rPr>
        <w:t xml:space="preserve">begrüßt, dass </w:t>
      </w:r>
      <w:r w:rsidR="0070679D">
        <w:rPr>
          <w:rFonts w:ascii="Arial" w:eastAsia="Times New Roman" w:hAnsi="Arial" w:cs="Arial"/>
          <w:bCs/>
          <w:lang w:eastAsia="de-DE"/>
        </w:rPr>
        <w:t>sich</w:t>
      </w:r>
      <w:r w:rsidR="0070679D" w:rsidRPr="0070679D">
        <w:rPr>
          <w:rFonts w:ascii="Arial" w:eastAsia="Times New Roman" w:hAnsi="Arial" w:cs="Arial"/>
          <w:bCs/>
          <w:lang w:eastAsia="de-DE"/>
        </w:rPr>
        <w:t xml:space="preserve"> die </w:t>
      </w:r>
      <w:r w:rsidR="0000083A" w:rsidRPr="0070679D">
        <w:rPr>
          <w:rFonts w:ascii="Arial" w:eastAsia="Times New Roman" w:hAnsi="Arial" w:cs="Arial"/>
          <w:bCs/>
          <w:lang w:eastAsia="de-DE"/>
        </w:rPr>
        <w:t>Monopol</w:t>
      </w:r>
      <w:r w:rsidR="007F18F5">
        <w:rPr>
          <w:rFonts w:ascii="Arial" w:eastAsia="Times New Roman" w:hAnsi="Arial" w:cs="Arial"/>
          <w:bCs/>
          <w:lang w:eastAsia="de-DE"/>
        </w:rPr>
        <w:t>k</w:t>
      </w:r>
      <w:r w:rsidR="0000083A" w:rsidRPr="0070679D">
        <w:rPr>
          <w:rFonts w:ascii="Arial" w:eastAsia="Times New Roman" w:hAnsi="Arial" w:cs="Arial"/>
          <w:bCs/>
          <w:lang w:eastAsia="de-DE"/>
        </w:rPr>
        <w:t xml:space="preserve">ommission mit </w:t>
      </w:r>
      <w:r w:rsidR="0070679D" w:rsidRPr="0070679D">
        <w:rPr>
          <w:rFonts w:ascii="Arial" w:eastAsia="Times New Roman" w:hAnsi="Arial" w:cs="Arial"/>
          <w:bCs/>
          <w:lang w:eastAsia="de-DE"/>
        </w:rPr>
        <w:t>einem</w:t>
      </w:r>
      <w:r w:rsidR="0070679D">
        <w:rPr>
          <w:rFonts w:ascii="Arial" w:eastAsia="Times New Roman" w:hAnsi="Arial" w:cs="Arial"/>
          <w:bCs/>
          <w:lang w:eastAsia="de-DE"/>
        </w:rPr>
        <w:t xml:space="preserve"> S</w:t>
      </w:r>
      <w:r w:rsidR="0070679D" w:rsidRPr="0070679D">
        <w:rPr>
          <w:rFonts w:ascii="Arial" w:eastAsia="Times New Roman" w:hAnsi="Arial" w:cs="Arial"/>
          <w:bCs/>
          <w:lang w:eastAsia="de-DE"/>
        </w:rPr>
        <w:t>onde</w:t>
      </w:r>
      <w:r w:rsidR="0070679D">
        <w:rPr>
          <w:rFonts w:ascii="Arial" w:eastAsia="Times New Roman" w:hAnsi="Arial" w:cs="Arial"/>
          <w:bCs/>
          <w:lang w:eastAsia="de-DE"/>
        </w:rPr>
        <w:t>r</w:t>
      </w:r>
      <w:r w:rsidR="0070679D" w:rsidRPr="0070679D">
        <w:rPr>
          <w:rFonts w:ascii="Arial" w:eastAsia="Times New Roman" w:hAnsi="Arial" w:cs="Arial"/>
          <w:bCs/>
          <w:lang w:eastAsia="de-DE"/>
        </w:rPr>
        <w:t>gutachten den Reformnot</w:t>
      </w:r>
      <w:r w:rsidR="0070679D">
        <w:rPr>
          <w:rFonts w:ascii="Arial" w:eastAsia="Times New Roman" w:hAnsi="Arial" w:cs="Arial"/>
          <w:bCs/>
          <w:lang w:eastAsia="de-DE"/>
        </w:rPr>
        <w:t>w</w:t>
      </w:r>
      <w:r w:rsidR="0070679D" w:rsidRPr="0070679D">
        <w:rPr>
          <w:rFonts w:ascii="Arial" w:eastAsia="Times New Roman" w:hAnsi="Arial" w:cs="Arial"/>
          <w:bCs/>
          <w:lang w:eastAsia="de-DE"/>
        </w:rPr>
        <w:t>endigkeit</w:t>
      </w:r>
      <w:r w:rsidR="0070679D">
        <w:rPr>
          <w:rFonts w:ascii="Arial" w:eastAsia="Times New Roman" w:hAnsi="Arial" w:cs="Arial"/>
          <w:bCs/>
          <w:lang w:eastAsia="de-DE"/>
        </w:rPr>
        <w:t>en</w:t>
      </w:r>
      <w:r w:rsidR="0070679D" w:rsidRPr="0070679D">
        <w:rPr>
          <w:rFonts w:ascii="Arial" w:eastAsia="Times New Roman" w:hAnsi="Arial" w:cs="Arial"/>
          <w:bCs/>
          <w:lang w:eastAsia="de-DE"/>
        </w:rPr>
        <w:t xml:space="preserve"> in der </w:t>
      </w:r>
      <w:r w:rsidR="0070679D">
        <w:rPr>
          <w:rFonts w:ascii="Arial" w:eastAsia="Times New Roman" w:hAnsi="Arial" w:cs="Arial"/>
          <w:bCs/>
          <w:lang w:eastAsia="de-DE"/>
        </w:rPr>
        <w:t>K</w:t>
      </w:r>
      <w:r w:rsidR="0070679D" w:rsidRPr="0070679D">
        <w:rPr>
          <w:rFonts w:ascii="Arial" w:eastAsia="Times New Roman" w:hAnsi="Arial" w:cs="Arial"/>
          <w:bCs/>
          <w:lang w:eastAsia="de-DE"/>
        </w:rPr>
        <w:t>r</w:t>
      </w:r>
      <w:r w:rsidR="0070679D">
        <w:rPr>
          <w:rFonts w:ascii="Arial" w:eastAsia="Times New Roman" w:hAnsi="Arial" w:cs="Arial"/>
          <w:bCs/>
          <w:lang w:eastAsia="de-DE"/>
        </w:rPr>
        <w:t>ankenhaus</w:t>
      </w:r>
      <w:r w:rsidR="007F18F5">
        <w:rPr>
          <w:rFonts w:ascii="Arial" w:eastAsia="Times New Roman" w:hAnsi="Arial" w:cs="Arial"/>
          <w:bCs/>
          <w:lang w:eastAsia="de-DE"/>
        </w:rPr>
        <w:t>v</w:t>
      </w:r>
      <w:r w:rsidR="0070679D">
        <w:rPr>
          <w:rFonts w:ascii="Arial" w:eastAsia="Times New Roman" w:hAnsi="Arial" w:cs="Arial"/>
          <w:bCs/>
          <w:lang w:eastAsia="de-DE"/>
        </w:rPr>
        <w:t xml:space="preserve">ersorgung </w:t>
      </w:r>
      <w:r w:rsidR="007F18F5">
        <w:rPr>
          <w:rFonts w:ascii="Arial" w:eastAsia="Times New Roman" w:hAnsi="Arial" w:cs="Arial"/>
          <w:bCs/>
          <w:lang w:eastAsia="de-DE"/>
        </w:rPr>
        <w:t>angen</w:t>
      </w:r>
      <w:r w:rsidR="0070679D" w:rsidRPr="0070679D">
        <w:rPr>
          <w:rFonts w:ascii="Arial" w:eastAsia="Times New Roman" w:hAnsi="Arial" w:cs="Arial"/>
          <w:bCs/>
          <w:lang w:eastAsia="de-DE"/>
        </w:rPr>
        <w:t xml:space="preserve">ommen hat. </w:t>
      </w:r>
      <w:r w:rsidR="0000083A" w:rsidRPr="0070679D">
        <w:rPr>
          <w:rFonts w:ascii="Arial" w:eastAsia="Times New Roman" w:hAnsi="Arial" w:cs="Arial"/>
          <w:bCs/>
          <w:lang w:eastAsia="de-DE"/>
        </w:rPr>
        <w:t xml:space="preserve">Die DKG </w:t>
      </w:r>
      <w:r w:rsidR="007F18F5" w:rsidRPr="0070679D">
        <w:rPr>
          <w:rFonts w:ascii="Arial" w:eastAsia="Times New Roman" w:hAnsi="Arial" w:cs="Arial"/>
          <w:bCs/>
          <w:lang w:eastAsia="de-DE"/>
        </w:rPr>
        <w:t>fordert</w:t>
      </w:r>
      <w:r w:rsidR="0070679D" w:rsidRPr="0070679D">
        <w:rPr>
          <w:rFonts w:ascii="Arial" w:eastAsia="Times New Roman" w:hAnsi="Arial" w:cs="Arial"/>
          <w:bCs/>
          <w:lang w:eastAsia="de-DE"/>
        </w:rPr>
        <w:t xml:space="preserve"> schon </w:t>
      </w:r>
      <w:r w:rsidR="0000083A" w:rsidRPr="0070679D">
        <w:rPr>
          <w:rFonts w:ascii="Arial" w:eastAsia="Times New Roman" w:hAnsi="Arial" w:cs="Arial"/>
          <w:bCs/>
          <w:lang w:eastAsia="de-DE"/>
        </w:rPr>
        <w:t xml:space="preserve">seit </w:t>
      </w:r>
      <w:r w:rsidR="0070679D" w:rsidRPr="0070679D">
        <w:rPr>
          <w:rFonts w:ascii="Arial" w:eastAsia="Times New Roman" w:hAnsi="Arial" w:cs="Arial"/>
          <w:bCs/>
          <w:lang w:eastAsia="de-DE"/>
        </w:rPr>
        <w:t xml:space="preserve">geraumer </w:t>
      </w:r>
      <w:r w:rsidR="0000083A" w:rsidRPr="0070679D">
        <w:rPr>
          <w:rFonts w:ascii="Arial" w:eastAsia="Times New Roman" w:hAnsi="Arial" w:cs="Arial"/>
          <w:bCs/>
          <w:lang w:eastAsia="de-DE"/>
        </w:rPr>
        <w:t xml:space="preserve">Zeit mutige Reformschritte sowohl hinsichtlich der Finanzierung als auch der Planung. </w:t>
      </w:r>
      <w:r w:rsidR="00C331ED">
        <w:rPr>
          <w:rFonts w:ascii="Arial" w:eastAsia="Times New Roman" w:hAnsi="Arial" w:cs="Arial"/>
          <w:bCs/>
          <w:lang w:eastAsia="de-DE"/>
        </w:rPr>
        <w:t>„</w:t>
      </w:r>
      <w:r w:rsidR="0070679D" w:rsidRPr="0070679D">
        <w:rPr>
          <w:rFonts w:ascii="Arial" w:eastAsia="Times New Roman" w:hAnsi="Arial" w:cs="Arial"/>
          <w:bCs/>
          <w:lang w:eastAsia="de-DE"/>
        </w:rPr>
        <w:t>Die Kommission benennt grundsätzlich die richtigen Reformfelder, d.h. das Finanzierungssystem, aber auch die Krankenhausplanung. Die Vorschläge der Monopolkommission atmen aber einen extrem wettbewerblichen Geist und verkennen, dass Gesundheit und Gesundheitsversorgung kein normales Wirtschaftsgut darstellen. Wettbewerb kann in diesem Bereich nicht alles richten. Soziale Daseinsvorsorge</w:t>
      </w:r>
      <w:r w:rsidR="004C2326">
        <w:rPr>
          <w:rFonts w:ascii="Arial" w:eastAsia="Times New Roman" w:hAnsi="Arial" w:cs="Arial"/>
          <w:bCs/>
          <w:lang w:eastAsia="de-DE"/>
        </w:rPr>
        <w:t>,</w:t>
      </w:r>
      <w:r w:rsidR="0070679D" w:rsidRPr="0070679D">
        <w:rPr>
          <w:rFonts w:ascii="Arial" w:eastAsia="Times New Roman" w:hAnsi="Arial" w:cs="Arial"/>
          <w:bCs/>
          <w:lang w:eastAsia="de-DE"/>
        </w:rPr>
        <w:t xml:space="preserve"> auch für Krisensituationen</w:t>
      </w:r>
      <w:r w:rsidR="004C2326">
        <w:rPr>
          <w:rFonts w:ascii="Arial" w:eastAsia="Times New Roman" w:hAnsi="Arial" w:cs="Arial"/>
          <w:bCs/>
          <w:lang w:eastAsia="de-DE"/>
        </w:rPr>
        <w:t>,</w:t>
      </w:r>
      <w:r w:rsidR="0070679D" w:rsidRPr="0070679D">
        <w:rPr>
          <w:rFonts w:ascii="Arial" w:eastAsia="Times New Roman" w:hAnsi="Arial" w:cs="Arial"/>
          <w:bCs/>
          <w:lang w:eastAsia="de-DE"/>
        </w:rPr>
        <w:t xml:space="preserve"> kann nicht mit rein marktwi</w:t>
      </w:r>
      <w:r w:rsidR="007F18F5">
        <w:rPr>
          <w:rFonts w:ascii="Arial" w:eastAsia="Times New Roman" w:hAnsi="Arial" w:cs="Arial"/>
          <w:bCs/>
          <w:lang w:eastAsia="de-DE"/>
        </w:rPr>
        <w:t>rt</w:t>
      </w:r>
      <w:r w:rsidR="0070679D" w:rsidRPr="0070679D">
        <w:rPr>
          <w:rFonts w:ascii="Arial" w:eastAsia="Times New Roman" w:hAnsi="Arial" w:cs="Arial"/>
          <w:bCs/>
          <w:lang w:eastAsia="de-DE"/>
        </w:rPr>
        <w:t>schaftlichen Instrumenten gesichert werden“</w:t>
      </w:r>
      <w:r w:rsidR="00CF3E7F">
        <w:rPr>
          <w:rFonts w:ascii="Arial" w:eastAsia="Times New Roman" w:hAnsi="Arial" w:cs="Arial"/>
          <w:bCs/>
          <w:lang w:eastAsia="de-DE"/>
        </w:rPr>
        <w:t>,</w:t>
      </w:r>
      <w:r w:rsidR="0070679D" w:rsidRPr="0070679D">
        <w:rPr>
          <w:rFonts w:ascii="Arial" w:eastAsia="Times New Roman" w:hAnsi="Arial" w:cs="Arial"/>
          <w:bCs/>
          <w:lang w:eastAsia="de-DE"/>
        </w:rPr>
        <w:t xml:space="preserve"> </w:t>
      </w:r>
      <w:r w:rsidR="0014511A" w:rsidRPr="0070679D">
        <w:rPr>
          <w:rFonts w:ascii="Arial" w:eastAsia="Times New Roman" w:hAnsi="Arial" w:cs="Arial"/>
          <w:bCs/>
          <w:lang w:eastAsia="de-DE"/>
        </w:rPr>
        <w:t>erklärte Dr. Gerald Gaß, Vorstandsvorsitzender der</w:t>
      </w:r>
      <w:r w:rsidR="00C331ED">
        <w:rPr>
          <w:rFonts w:ascii="Arial" w:eastAsia="Times New Roman" w:hAnsi="Arial" w:cs="Arial"/>
          <w:bCs/>
          <w:lang w:eastAsia="de-DE"/>
        </w:rPr>
        <w:t xml:space="preserve"> </w:t>
      </w:r>
      <w:r w:rsidR="0014511A" w:rsidRPr="0070679D">
        <w:rPr>
          <w:rFonts w:ascii="Arial" w:eastAsia="Times New Roman" w:hAnsi="Arial" w:cs="Arial"/>
          <w:bCs/>
          <w:lang w:eastAsia="de-DE"/>
        </w:rPr>
        <w:t xml:space="preserve">DKG. </w:t>
      </w:r>
    </w:p>
    <w:p w:rsidR="0070679D" w:rsidRDefault="0070679D" w:rsidP="0070679D">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w:t>
      </w:r>
      <w:r w:rsidRPr="0070679D">
        <w:rPr>
          <w:rFonts w:ascii="Arial" w:eastAsia="Times New Roman" w:hAnsi="Arial" w:cs="Arial"/>
          <w:bCs/>
          <w:lang w:eastAsia="de-DE"/>
        </w:rPr>
        <w:t xml:space="preserve">ies wird besonders deutlich in den </w:t>
      </w:r>
      <w:r>
        <w:rPr>
          <w:rFonts w:ascii="Arial" w:eastAsia="Times New Roman" w:hAnsi="Arial" w:cs="Arial"/>
          <w:bCs/>
          <w:lang w:eastAsia="de-DE"/>
        </w:rPr>
        <w:t>E</w:t>
      </w:r>
      <w:r w:rsidRPr="0070679D">
        <w:rPr>
          <w:rFonts w:ascii="Arial" w:eastAsia="Times New Roman" w:hAnsi="Arial" w:cs="Arial"/>
          <w:bCs/>
          <w:lang w:eastAsia="de-DE"/>
        </w:rPr>
        <w:t>inzelpunkten zur Krankenhausplanung. Die Monopolkommission geht hier davon aus, dass sich Versorgungsangebote flexibel aus der Nachfrage der Patientin</w:t>
      </w:r>
      <w:r w:rsidR="00C331ED">
        <w:rPr>
          <w:rFonts w:ascii="Arial" w:eastAsia="Times New Roman" w:hAnsi="Arial" w:cs="Arial"/>
          <w:bCs/>
          <w:lang w:eastAsia="de-DE"/>
        </w:rPr>
        <w:t xml:space="preserve">nen und </w:t>
      </w:r>
      <w:r w:rsidR="00AE0CEE">
        <w:rPr>
          <w:rFonts w:ascii="Arial" w:eastAsia="Times New Roman" w:hAnsi="Arial" w:cs="Arial"/>
          <w:bCs/>
          <w:lang w:eastAsia="de-DE"/>
        </w:rPr>
        <w:t>Patienten</w:t>
      </w:r>
      <w:r w:rsidR="00AE0CEE" w:rsidRPr="0070679D">
        <w:rPr>
          <w:rFonts w:ascii="Arial" w:eastAsia="Times New Roman" w:hAnsi="Arial" w:cs="Arial"/>
          <w:bCs/>
          <w:lang w:eastAsia="de-DE"/>
        </w:rPr>
        <w:t xml:space="preserve"> ergeben</w:t>
      </w:r>
      <w:r w:rsidRPr="0070679D">
        <w:rPr>
          <w:rFonts w:ascii="Arial" w:eastAsia="Times New Roman" w:hAnsi="Arial" w:cs="Arial"/>
          <w:bCs/>
          <w:lang w:eastAsia="de-DE"/>
        </w:rPr>
        <w:t xml:space="preserve">. </w:t>
      </w:r>
      <w:r w:rsidRPr="00D767B0">
        <w:rPr>
          <w:rFonts w:ascii="Arial" w:eastAsia="Times New Roman" w:hAnsi="Arial" w:cs="Arial"/>
          <w:bCs/>
          <w:lang w:eastAsia="de-DE"/>
        </w:rPr>
        <w:t xml:space="preserve">Dies würde aber fast zwangsläufig zum Wegbrechen bestimmter Versorgungsangebote </w:t>
      </w:r>
      <w:r w:rsidR="007F18F5" w:rsidRPr="00D767B0">
        <w:rPr>
          <w:rFonts w:ascii="Arial" w:eastAsia="Times New Roman" w:hAnsi="Arial" w:cs="Arial"/>
          <w:bCs/>
          <w:lang w:eastAsia="de-DE"/>
        </w:rPr>
        <w:t>in dünn</w:t>
      </w:r>
      <w:r w:rsidRPr="00D767B0">
        <w:rPr>
          <w:rFonts w:ascii="Arial" w:eastAsia="Times New Roman" w:hAnsi="Arial" w:cs="Arial"/>
          <w:bCs/>
          <w:lang w:eastAsia="de-DE"/>
        </w:rPr>
        <w:t xml:space="preserve"> besiedelten Regionen führen. </w:t>
      </w:r>
      <w:r w:rsidR="00B61EB6" w:rsidRPr="00D767B0">
        <w:rPr>
          <w:rFonts w:ascii="Arial" w:eastAsia="Times New Roman" w:hAnsi="Arial" w:cs="Arial"/>
          <w:bCs/>
          <w:lang w:eastAsia="de-DE"/>
        </w:rPr>
        <w:t xml:space="preserve">Und das vorgeschlagene Instrument des Mindestbedarfs als Sicherstellungsgrenze würde hier nicht ausreichend Abhilfe schaffen. Vielmehr läuft man Gefahr, dass die Mindestgrenze zum Standard wird. </w:t>
      </w:r>
      <w:r w:rsidRPr="00D767B0">
        <w:rPr>
          <w:rFonts w:ascii="Arial" w:eastAsia="Times New Roman" w:hAnsi="Arial" w:cs="Arial"/>
          <w:bCs/>
          <w:lang w:eastAsia="de-DE"/>
        </w:rPr>
        <w:t xml:space="preserve">Lücken in der flächendeckenden Krankenhausversorgung können jedoch politisch nicht gewollt sein, da ansonsten das Ziel einheitlicher Lebensverhältnisse gefährdet wäre. Der Vorschlag nimmt den Ländern Gestaltungsmöglichkeiten. Gerade </w:t>
      </w:r>
      <w:r w:rsidRPr="0070679D">
        <w:rPr>
          <w:rFonts w:ascii="Arial" w:eastAsia="Times New Roman" w:hAnsi="Arial" w:cs="Arial"/>
          <w:bCs/>
          <w:lang w:eastAsia="de-DE"/>
        </w:rPr>
        <w:t xml:space="preserve">aber die Länder können </w:t>
      </w:r>
      <w:r w:rsidR="007F18F5" w:rsidRPr="0070679D">
        <w:rPr>
          <w:rFonts w:ascii="Arial" w:eastAsia="Times New Roman" w:hAnsi="Arial" w:cs="Arial"/>
          <w:bCs/>
          <w:lang w:eastAsia="de-DE"/>
        </w:rPr>
        <w:t>die regionale Besonderheit</w:t>
      </w:r>
      <w:r w:rsidRPr="0070679D">
        <w:rPr>
          <w:rFonts w:ascii="Arial" w:eastAsia="Times New Roman" w:hAnsi="Arial" w:cs="Arial"/>
          <w:bCs/>
          <w:lang w:eastAsia="de-DE"/>
        </w:rPr>
        <w:t xml:space="preserve"> und Notwendigkeiten am besten bewerten. Von zentraler Bedeutung für die Krankenhäuser ist</w:t>
      </w:r>
      <w:r>
        <w:rPr>
          <w:rFonts w:ascii="Arial" w:eastAsia="Times New Roman" w:hAnsi="Arial" w:cs="Arial"/>
          <w:bCs/>
          <w:lang w:eastAsia="de-DE"/>
        </w:rPr>
        <w:t xml:space="preserve"> </w:t>
      </w:r>
      <w:r w:rsidR="007F18F5">
        <w:rPr>
          <w:rFonts w:ascii="Arial" w:eastAsia="Times New Roman" w:hAnsi="Arial" w:cs="Arial"/>
          <w:bCs/>
          <w:lang w:eastAsia="de-DE"/>
        </w:rPr>
        <w:t>deshalb</w:t>
      </w:r>
      <w:r w:rsidRPr="0070679D">
        <w:rPr>
          <w:rFonts w:ascii="Arial" w:eastAsia="Times New Roman" w:hAnsi="Arial" w:cs="Arial"/>
          <w:bCs/>
          <w:lang w:eastAsia="de-DE"/>
        </w:rPr>
        <w:t xml:space="preserve">, dass die </w:t>
      </w:r>
      <w:r w:rsidR="007F18F5" w:rsidRPr="0070679D">
        <w:rPr>
          <w:rFonts w:ascii="Arial" w:eastAsia="Times New Roman" w:hAnsi="Arial" w:cs="Arial"/>
          <w:bCs/>
          <w:lang w:eastAsia="de-DE"/>
        </w:rPr>
        <w:t>pol</w:t>
      </w:r>
      <w:r w:rsidR="007F18F5">
        <w:rPr>
          <w:rFonts w:ascii="Arial" w:eastAsia="Times New Roman" w:hAnsi="Arial" w:cs="Arial"/>
          <w:bCs/>
          <w:lang w:eastAsia="de-DE"/>
        </w:rPr>
        <w:t xml:space="preserve">itische </w:t>
      </w:r>
      <w:r w:rsidR="007F18F5" w:rsidRPr="0070679D">
        <w:rPr>
          <w:rFonts w:ascii="Arial" w:eastAsia="Times New Roman" w:hAnsi="Arial" w:cs="Arial"/>
          <w:bCs/>
          <w:lang w:eastAsia="de-DE"/>
        </w:rPr>
        <w:t>Letztverantwortung</w:t>
      </w:r>
      <w:r w:rsidRPr="0070679D">
        <w:rPr>
          <w:rFonts w:ascii="Arial" w:eastAsia="Times New Roman" w:hAnsi="Arial" w:cs="Arial"/>
          <w:bCs/>
          <w:lang w:eastAsia="de-DE"/>
        </w:rPr>
        <w:t xml:space="preserve"> für eine flächendeckende, wohnortnahe Gesundheitsversorgung auch in Zukunft bei den Ländern liegen muss und bundesweite Vorgaben lediglich als Orientierungsrahmen dienen dürfen.</w:t>
      </w:r>
      <w:r>
        <w:rPr>
          <w:rFonts w:ascii="Arial" w:eastAsia="Times New Roman" w:hAnsi="Arial" w:cs="Arial"/>
          <w:bCs/>
          <w:lang w:eastAsia="de-DE"/>
        </w:rPr>
        <w:t xml:space="preserve"> </w:t>
      </w:r>
      <w:r w:rsidR="007F18F5">
        <w:rPr>
          <w:rFonts w:ascii="Arial" w:eastAsia="Times New Roman" w:hAnsi="Arial" w:cs="Arial"/>
          <w:bCs/>
          <w:lang w:eastAsia="de-DE"/>
        </w:rPr>
        <w:lastRenderedPageBreak/>
        <w:t xml:space="preserve">Positiv </w:t>
      </w:r>
      <w:r>
        <w:rPr>
          <w:rFonts w:ascii="Arial" w:eastAsia="Times New Roman" w:hAnsi="Arial" w:cs="Arial"/>
          <w:bCs/>
          <w:lang w:eastAsia="de-DE"/>
        </w:rPr>
        <w:t xml:space="preserve">zu </w:t>
      </w:r>
      <w:r w:rsidR="007F18F5">
        <w:rPr>
          <w:rFonts w:ascii="Arial" w:eastAsia="Times New Roman" w:hAnsi="Arial" w:cs="Arial"/>
          <w:bCs/>
          <w:lang w:eastAsia="de-DE"/>
        </w:rPr>
        <w:t>b</w:t>
      </w:r>
      <w:r>
        <w:rPr>
          <w:rFonts w:ascii="Arial" w:eastAsia="Times New Roman" w:hAnsi="Arial" w:cs="Arial"/>
          <w:bCs/>
          <w:lang w:eastAsia="de-DE"/>
        </w:rPr>
        <w:t>ew</w:t>
      </w:r>
      <w:r w:rsidR="007F18F5">
        <w:rPr>
          <w:rFonts w:ascii="Arial" w:eastAsia="Times New Roman" w:hAnsi="Arial" w:cs="Arial"/>
          <w:bCs/>
          <w:lang w:eastAsia="de-DE"/>
        </w:rPr>
        <w:t>er</w:t>
      </w:r>
      <w:r>
        <w:rPr>
          <w:rFonts w:ascii="Arial" w:eastAsia="Times New Roman" w:hAnsi="Arial" w:cs="Arial"/>
          <w:bCs/>
          <w:lang w:eastAsia="de-DE"/>
        </w:rPr>
        <w:t xml:space="preserve">ten </w:t>
      </w:r>
      <w:r w:rsidR="00AE0CEE">
        <w:rPr>
          <w:rFonts w:ascii="Arial" w:eastAsia="Times New Roman" w:hAnsi="Arial" w:cs="Arial"/>
          <w:bCs/>
          <w:lang w:eastAsia="de-DE"/>
        </w:rPr>
        <w:t>ist,</w:t>
      </w:r>
      <w:r w:rsidR="007F18F5">
        <w:rPr>
          <w:rFonts w:ascii="Arial" w:eastAsia="Times New Roman" w:hAnsi="Arial" w:cs="Arial"/>
          <w:bCs/>
          <w:lang w:eastAsia="de-DE"/>
        </w:rPr>
        <w:t xml:space="preserve"> d</w:t>
      </w:r>
      <w:r>
        <w:rPr>
          <w:rFonts w:ascii="Arial" w:eastAsia="Times New Roman" w:hAnsi="Arial" w:cs="Arial"/>
          <w:bCs/>
          <w:lang w:eastAsia="de-DE"/>
        </w:rPr>
        <w:t xml:space="preserve">ass die </w:t>
      </w:r>
      <w:r w:rsidR="007F18F5" w:rsidRPr="0070679D">
        <w:rPr>
          <w:rFonts w:ascii="Arial" w:eastAsia="Times New Roman" w:hAnsi="Arial" w:cs="Arial"/>
          <w:bCs/>
          <w:lang w:eastAsia="de-DE"/>
        </w:rPr>
        <w:t xml:space="preserve">Monopolkommission </w:t>
      </w:r>
      <w:r>
        <w:rPr>
          <w:rFonts w:ascii="Arial" w:eastAsia="Times New Roman" w:hAnsi="Arial" w:cs="Arial"/>
          <w:bCs/>
          <w:lang w:eastAsia="de-DE"/>
        </w:rPr>
        <w:t xml:space="preserve">auch die </w:t>
      </w:r>
      <w:r w:rsidR="007F18F5">
        <w:rPr>
          <w:rFonts w:ascii="Arial" w:eastAsia="Times New Roman" w:hAnsi="Arial" w:cs="Arial"/>
          <w:bCs/>
          <w:lang w:eastAsia="de-DE"/>
        </w:rPr>
        <w:t>Stärkung</w:t>
      </w:r>
      <w:r>
        <w:rPr>
          <w:rFonts w:ascii="Arial" w:eastAsia="Times New Roman" w:hAnsi="Arial" w:cs="Arial"/>
          <w:bCs/>
          <w:lang w:eastAsia="de-DE"/>
        </w:rPr>
        <w:t xml:space="preserve"> der </w:t>
      </w:r>
      <w:r w:rsidR="007F18F5">
        <w:rPr>
          <w:rFonts w:ascii="Arial" w:eastAsia="Times New Roman" w:hAnsi="Arial" w:cs="Arial"/>
          <w:bCs/>
          <w:lang w:eastAsia="de-DE"/>
        </w:rPr>
        <w:t>V</w:t>
      </w:r>
      <w:r>
        <w:rPr>
          <w:rFonts w:ascii="Arial" w:eastAsia="Times New Roman" w:hAnsi="Arial" w:cs="Arial"/>
          <w:bCs/>
          <w:lang w:eastAsia="de-DE"/>
        </w:rPr>
        <w:t>or</w:t>
      </w:r>
      <w:r w:rsidR="007F18F5">
        <w:rPr>
          <w:rFonts w:ascii="Arial" w:eastAsia="Times New Roman" w:hAnsi="Arial" w:cs="Arial"/>
          <w:bCs/>
          <w:lang w:eastAsia="de-DE"/>
        </w:rPr>
        <w:t>halte</w:t>
      </w:r>
      <w:r>
        <w:rPr>
          <w:rFonts w:ascii="Arial" w:eastAsia="Times New Roman" w:hAnsi="Arial" w:cs="Arial"/>
          <w:bCs/>
          <w:lang w:eastAsia="de-DE"/>
        </w:rPr>
        <w:t>finan</w:t>
      </w:r>
      <w:r w:rsidR="007F18F5">
        <w:rPr>
          <w:rFonts w:ascii="Arial" w:eastAsia="Times New Roman" w:hAnsi="Arial" w:cs="Arial"/>
          <w:bCs/>
          <w:lang w:eastAsia="de-DE"/>
        </w:rPr>
        <w:t>zier</w:t>
      </w:r>
      <w:r>
        <w:rPr>
          <w:rFonts w:ascii="Arial" w:eastAsia="Times New Roman" w:hAnsi="Arial" w:cs="Arial"/>
          <w:bCs/>
          <w:lang w:eastAsia="de-DE"/>
        </w:rPr>
        <w:t xml:space="preserve">ung betont. </w:t>
      </w:r>
      <w:r w:rsidRPr="0070679D">
        <w:rPr>
          <w:rFonts w:ascii="Arial" w:eastAsia="Times New Roman" w:hAnsi="Arial" w:cs="Arial"/>
          <w:bCs/>
          <w:lang w:eastAsia="de-DE"/>
        </w:rPr>
        <w:t xml:space="preserve">Bei der Ausgestaltung der Reformdetails sollten jedoch auch die Länder, die Krankenhäuser und die Kostenträger von Beginn an eng einbezogen werden. Die Einberufung eines Wissenschaftsrates sehen die Krankenhäuser daher skeptisch. </w:t>
      </w:r>
      <w:r>
        <w:rPr>
          <w:rFonts w:ascii="Arial" w:eastAsia="Times New Roman" w:hAnsi="Arial" w:cs="Arial"/>
          <w:bCs/>
          <w:lang w:eastAsia="de-DE"/>
        </w:rPr>
        <w:t>Die Ver</w:t>
      </w:r>
      <w:r w:rsidR="007F18F5">
        <w:rPr>
          <w:rFonts w:ascii="Arial" w:eastAsia="Times New Roman" w:hAnsi="Arial" w:cs="Arial"/>
          <w:bCs/>
          <w:lang w:eastAsia="de-DE"/>
        </w:rPr>
        <w:t xml:space="preserve">antwortung </w:t>
      </w:r>
      <w:r w:rsidR="00C331ED">
        <w:rPr>
          <w:rFonts w:ascii="Arial" w:eastAsia="Times New Roman" w:hAnsi="Arial" w:cs="Arial"/>
          <w:bCs/>
          <w:lang w:eastAsia="de-DE"/>
        </w:rPr>
        <w:t xml:space="preserve">der Länder </w:t>
      </w:r>
      <w:r>
        <w:rPr>
          <w:rFonts w:ascii="Arial" w:eastAsia="Times New Roman" w:hAnsi="Arial" w:cs="Arial"/>
          <w:bCs/>
          <w:lang w:eastAsia="de-DE"/>
        </w:rPr>
        <w:t>muss auch bei Inves</w:t>
      </w:r>
      <w:r w:rsidR="007F18F5">
        <w:rPr>
          <w:rFonts w:ascii="Arial" w:eastAsia="Times New Roman" w:hAnsi="Arial" w:cs="Arial"/>
          <w:bCs/>
          <w:lang w:eastAsia="de-DE"/>
        </w:rPr>
        <w:t>titionsf</w:t>
      </w:r>
      <w:r>
        <w:rPr>
          <w:rFonts w:ascii="Arial" w:eastAsia="Times New Roman" w:hAnsi="Arial" w:cs="Arial"/>
          <w:bCs/>
          <w:lang w:eastAsia="de-DE"/>
        </w:rPr>
        <w:t>inan</w:t>
      </w:r>
      <w:r w:rsidR="007F18F5">
        <w:rPr>
          <w:rFonts w:ascii="Arial" w:eastAsia="Times New Roman" w:hAnsi="Arial" w:cs="Arial"/>
          <w:bCs/>
          <w:lang w:eastAsia="de-DE"/>
        </w:rPr>
        <w:t>zierung</w:t>
      </w:r>
      <w:r>
        <w:rPr>
          <w:rFonts w:ascii="Arial" w:eastAsia="Times New Roman" w:hAnsi="Arial" w:cs="Arial"/>
          <w:bCs/>
          <w:lang w:eastAsia="de-DE"/>
        </w:rPr>
        <w:t xml:space="preserve"> </w:t>
      </w:r>
      <w:r w:rsidR="007F18F5">
        <w:rPr>
          <w:rFonts w:ascii="Arial" w:eastAsia="Times New Roman" w:hAnsi="Arial" w:cs="Arial"/>
          <w:bCs/>
          <w:lang w:eastAsia="de-DE"/>
        </w:rPr>
        <w:t>bestehen</w:t>
      </w:r>
      <w:r>
        <w:rPr>
          <w:rFonts w:ascii="Arial" w:eastAsia="Times New Roman" w:hAnsi="Arial" w:cs="Arial"/>
          <w:bCs/>
          <w:lang w:eastAsia="de-DE"/>
        </w:rPr>
        <w:t xml:space="preserve"> </w:t>
      </w:r>
      <w:r w:rsidR="007F18F5">
        <w:rPr>
          <w:rFonts w:ascii="Arial" w:eastAsia="Times New Roman" w:hAnsi="Arial" w:cs="Arial"/>
          <w:bCs/>
          <w:lang w:eastAsia="de-DE"/>
        </w:rPr>
        <w:t>bleiben</w:t>
      </w:r>
      <w:r>
        <w:rPr>
          <w:rFonts w:ascii="Arial" w:eastAsia="Times New Roman" w:hAnsi="Arial" w:cs="Arial"/>
          <w:bCs/>
          <w:lang w:eastAsia="de-DE"/>
        </w:rPr>
        <w:t xml:space="preserve">. Der </w:t>
      </w:r>
      <w:r w:rsidR="007F18F5">
        <w:rPr>
          <w:rFonts w:ascii="Arial" w:eastAsia="Times New Roman" w:hAnsi="Arial" w:cs="Arial"/>
          <w:bCs/>
          <w:lang w:eastAsia="de-DE"/>
        </w:rPr>
        <w:t>W</w:t>
      </w:r>
      <w:r>
        <w:rPr>
          <w:rFonts w:ascii="Arial" w:eastAsia="Times New Roman" w:hAnsi="Arial" w:cs="Arial"/>
          <w:bCs/>
          <w:lang w:eastAsia="de-DE"/>
        </w:rPr>
        <w:t xml:space="preserve">eg in die </w:t>
      </w:r>
      <w:r w:rsidR="007F18F5">
        <w:rPr>
          <w:rFonts w:ascii="Arial" w:eastAsia="Times New Roman" w:hAnsi="Arial" w:cs="Arial"/>
          <w:bCs/>
          <w:lang w:eastAsia="de-DE"/>
        </w:rPr>
        <w:t xml:space="preserve">Monistik </w:t>
      </w:r>
      <w:r>
        <w:rPr>
          <w:rFonts w:ascii="Arial" w:eastAsia="Times New Roman" w:hAnsi="Arial" w:cs="Arial"/>
          <w:bCs/>
          <w:lang w:eastAsia="de-DE"/>
        </w:rPr>
        <w:t xml:space="preserve">ist </w:t>
      </w:r>
      <w:r w:rsidR="007F18F5">
        <w:rPr>
          <w:rFonts w:ascii="Arial" w:eastAsia="Times New Roman" w:hAnsi="Arial" w:cs="Arial"/>
          <w:bCs/>
          <w:lang w:eastAsia="de-DE"/>
        </w:rPr>
        <w:t>nicht</w:t>
      </w:r>
      <w:r>
        <w:rPr>
          <w:rFonts w:ascii="Arial" w:eastAsia="Times New Roman" w:hAnsi="Arial" w:cs="Arial"/>
          <w:bCs/>
          <w:lang w:eastAsia="de-DE"/>
        </w:rPr>
        <w:t xml:space="preserve"> sach</w:t>
      </w:r>
      <w:r w:rsidR="007F18F5">
        <w:rPr>
          <w:rFonts w:ascii="Arial" w:eastAsia="Times New Roman" w:hAnsi="Arial" w:cs="Arial"/>
          <w:bCs/>
          <w:lang w:eastAsia="de-DE"/>
        </w:rPr>
        <w:t>ge</w:t>
      </w:r>
      <w:r>
        <w:rPr>
          <w:rFonts w:ascii="Arial" w:eastAsia="Times New Roman" w:hAnsi="Arial" w:cs="Arial"/>
          <w:bCs/>
          <w:lang w:eastAsia="de-DE"/>
        </w:rPr>
        <w:t>recht. A</w:t>
      </w:r>
      <w:r w:rsidR="007F18F5">
        <w:rPr>
          <w:rFonts w:ascii="Arial" w:eastAsia="Times New Roman" w:hAnsi="Arial" w:cs="Arial"/>
          <w:bCs/>
          <w:lang w:eastAsia="de-DE"/>
        </w:rPr>
        <w:t>l</w:t>
      </w:r>
      <w:r>
        <w:rPr>
          <w:rFonts w:ascii="Arial" w:eastAsia="Times New Roman" w:hAnsi="Arial" w:cs="Arial"/>
          <w:bCs/>
          <w:lang w:eastAsia="de-DE"/>
        </w:rPr>
        <w:t>ler</w:t>
      </w:r>
      <w:r w:rsidR="007F18F5">
        <w:rPr>
          <w:rFonts w:ascii="Arial" w:eastAsia="Times New Roman" w:hAnsi="Arial" w:cs="Arial"/>
          <w:bCs/>
          <w:lang w:eastAsia="de-DE"/>
        </w:rPr>
        <w:t xml:space="preserve">dings </w:t>
      </w:r>
      <w:r w:rsidRPr="0070679D">
        <w:rPr>
          <w:rFonts w:ascii="Arial" w:eastAsia="Times New Roman" w:hAnsi="Arial" w:cs="Arial"/>
          <w:bCs/>
          <w:lang w:eastAsia="de-DE"/>
        </w:rPr>
        <w:t>fordert die DKG die Länder auf, ihrer Verantwortung endlich gerecht zu werden und die Investitionsmittel deutlich aufzustocken. Anders als die Monopolkommission sprechen sich die Krankenhäuser für eine Beibehaltung des dualen Finanzierungssystems aus. Der Bund sollte die Krankenhäuser jedoch über gezielte Investitionssonderprogramme (z. B. zum Thema Klimaschutz/Energieeinsparungen, Digitalisierung) unterstützen.</w:t>
      </w:r>
    </w:p>
    <w:p w:rsidR="0070679D" w:rsidRPr="0070679D" w:rsidRDefault="0070679D" w:rsidP="0070679D">
      <w:pPr>
        <w:spacing w:line="340" w:lineRule="atLeast"/>
        <w:ind w:right="2268"/>
        <w:jc w:val="both"/>
        <w:rPr>
          <w:rFonts w:ascii="Arial" w:eastAsia="Times New Roman" w:hAnsi="Arial" w:cs="Arial"/>
          <w:bCs/>
          <w:lang w:eastAsia="de-DE"/>
        </w:rPr>
      </w:pPr>
      <w:r w:rsidRPr="0070679D">
        <w:rPr>
          <w:rFonts w:ascii="Arial" w:eastAsia="Times New Roman" w:hAnsi="Arial" w:cs="Arial"/>
          <w:bCs/>
          <w:lang w:eastAsia="de-DE"/>
        </w:rPr>
        <w:t>Die Krankenhäuser teilen die Einschätzung der Monopolkommission, dass Qualitätswettbewerb ein wichtiger Faktor ist, um die hohe Qualität der Versorgung auch in Zukunft garantieren und ausbauen zu können. Im Falle eines Konfliktes zwischen den Zielen „Wettbewerb“ und „Gewährleistung einer effizienten flächendeckenden Versorgung (auf Basis einer gezielten Krankenhausplanung)“ kann eine Begrenzung des Wettbewerbes jedoch akzeptiert werden.</w:t>
      </w:r>
      <w:r>
        <w:rPr>
          <w:rFonts w:ascii="Arial" w:eastAsia="Times New Roman" w:hAnsi="Arial" w:cs="Arial"/>
          <w:bCs/>
          <w:lang w:eastAsia="de-DE"/>
        </w:rPr>
        <w:t xml:space="preserve"> </w:t>
      </w:r>
      <w:r w:rsidR="007F18F5">
        <w:rPr>
          <w:rFonts w:ascii="Arial" w:eastAsia="Times New Roman" w:hAnsi="Arial" w:cs="Arial"/>
          <w:bCs/>
          <w:lang w:eastAsia="de-DE"/>
        </w:rPr>
        <w:t>Allerdings</w:t>
      </w:r>
      <w:r>
        <w:rPr>
          <w:rFonts w:ascii="Arial" w:eastAsia="Times New Roman" w:hAnsi="Arial" w:cs="Arial"/>
          <w:bCs/>
          <w:lang w:eastAsia="de-DE"/>
        </w:rPr>
        <w:t xml:space="preserve"> muss festgestellt </w:t>
      </w:r>
      <w:r w:rsidR="007F18F5">
        <w:rPr>
          <w:rFonts w:ascii="Arial" w:eastAsia="Times New Roman" w:hAnsi="Arial" w:cs="Arial"/>
          <w:bCs/>
          <w:lang w:eastAsia="de-DE"/>
        </w:rPr>
        <w:t>werden</w:t>
      </w:r>
      <w:r>
        <w:rPr>
          <w:rFonts w:ascii="Arial" w:eastAsia="Times New Roman" w:hAnsi="Arial" w:cs="Arial"/>
          <w:bCs/>
          <w:lang w:eastAsia="de-DE"/>
        </w:rPr>
        <w:t xml:space="preserve">, dass einige der </w:t>
      </w:r>
      <w:r w:rsidR="007F18F5">
        <w:rPr>
          <w:rFonts w:ascii="Arial" w:eastAsia="Times New Roman" w:hAnsi="Arial" w:cs="Arial"/>
          <w:bCs/>
          <w:lang w:eastAsia="de-DE"/>
        </w:rPr>
        <w:t>Vorschläge</w:t>
      </w:r>
      <w:r>
        <w:rPr>
          <w:rFonts w:ascii="Arial" w:eastAsia="Times New Roman" w:hAnsi="Arial" w:cs="Arial"/>
          <w:bCs/>
          <w:lang w:eastAsia="de-DE"/>
        </w:rPr>
        <w:t xml:space="preserve"> in </w:t>
      </w:r>
      <w:r w:rsidR="007F18F5">
        <w:rPr>
          <w:rFonts w:ascii="Arial" w:eastAsia="Times New Roman" w:hAnsi="Arial" w:cs="Arial"/>
          <w:bCs/>
          <w:lang w:eastAsia="de-DE"/>
        </w:rPr>
        <w:t>diesem</w:t>
      </w:r>
      <w:r>
        <w:rPr>
          <w:rFonts w:ascii="Arial" w:eastAsia="Times New Roman" w:hAnsi="Arial" w:cs="Arial"/>
          <w:bCs/>
          <w:lang w:eastAsia="de-DE"/>
        </w:rPr>
        <w:t xml:space="preserve"> Bereich </w:t>
      </w:r>
      <w:r w:rsidRPr="0070679D">
        <w:rPr>
          <w:rFonts w:ascii="Arial" w:eastAsia="Times New Roman" w:hAnsi="Arial" w:cs="Arial"/>
          <w:bCs/>
          <w:lang w:eastAsia="de-DE"/>
        </w:rPr>
        <w:t>sehr undifferenziert</w:t>
      </w:r>
      <w:r>
        <w:rPr>
          <w:rFonts w:ascii="Arial" w:eastAsia="Times New Roman" w:hAnsi="Arial" w:cs="Arial"/>
          <w:bCs/>
          <w:lang w:eastAsia="de-DE"/>
        </w:rPr>
        <w:t xml:space="preserve"> sind</w:t>
      </w:r>
      <w:r w:rsidRPr="0070679D">
        <w:rPr>
          <w:rFonts w:ascii="Arial" w:eastAsia="Times New Roman" w:hAnsi="Arial" w:cs="Arial"/>
          <w:bCs/>
          <w:lang w:eastAsia="de-DE"/>
        </w:rPr>
        <w:t xml:space="preserve">. Schlussendlich wird hier </w:t>
      </w:r>
      <w:r w:rsidR="007F18F5" w:rsidRPr="0070679D">
        <w:rPr>
          <w:rFonts w:ascii="Arial" w:eastAsia="Times New Roman" w:hAnsi="Arial" w:cs="Arial"/>
          <w:bCs/>
          <w:lang w:eastAsia="de-DE"/>
        </w:rPr>
        <w:t>versucht,</w:t>
      </w:r>
      <w:r w:rsidR="00CF3E7F">
        <w:rPr>
          <w:rFonts w:ascii="Arial" w:eastAsia="Times New Roman" w:hAnsi="Arial" w:cs="Arial"/>
          <w:bCs/>
          <w:lang w:eastAsia="de-DE"/>
        </w:rPr>
        <w:t xml:space="preserve"> </w:t>
      </w:r>
      <w:r w:rsidR="007F18F5" w:rsidRPr="0070679D">
        <w:rPr>
          <w:rFonts w:ascii="Arial" w:eastAsia="Times New Roman" w:hAnsi="Arial" w:cs="Arial"/>
          <w:bCs/>
          <w:lang w:eastAsia="de-DE"/>
        </w:rPr>
        <w:t>sehr</w:t>
      </w:r>
      <w:r w:rsidRPr="0070679D">
        <w:rPr>
          <w:rFonts w:ascii="Arial" w:eastAsia="Times New Roman" w:hAnsi="Arial" w:cs="Arial"/>
          <w:bCs/>
          <w:lang w:eastAsia="de-DE"/>
        </w:rPr>
        <w:t xml:space="preserve"> komplexe Sachverhalte</w:t>
      </w:r>
      <w:r w:rsidR="00141BC6">
        <w:rPr>
          <w:rFonts w:ascii="Arial" w:eastAsia="Times New Roman" w:hAnsi="Arial" w:cs="Arial"/>
          <w:bCs/>
          <w:lang w:eastAsia="de-DE"/>
        </w:rPr>
        <w:t>,</w:t>
      </w:r>
      <w:r w:rsidRPr="0070679D">
        <w:rPr>
          <w:rFonts w:ascii="Arial" w:eastAsia="Times New Roman" w:hAnsi="Arial" w:cs="Arial"/>
          <w:bCs/>
          <w:lang w:eastAsia="de-DE"/>
        </w:rPr>
        <w:t xml:space="preserve"> wie den Zusammenhang von Ergebnisqualität und Behandlungshäufigkeit</w:t>
      </w:r>
      <w:r w:rsidR="00141BC6">
        <w:rPr>
          <w:rFonts w:ascii="Arial" w:eastAsia="Times New Roman" w:hAnsi="Arial" w:cs="Arial"/>
          <w:bCs/>
          <w:lang w:eastAsia="de-DE"/>
        </w:rPr>
        <w:t>,</w:t>
      </w:r>
      <w:r w:rsidRPr="0070679D">
        <w:rPr>
          <w:rFonts w:ascii="Arial" w:eastAsia="Times New Roman" w:hAnsi="Arial" w:cs="Arial"/>
          <w:bCs/>
          <w:lang w:eastAsia="de-DE"/>
        </w:rPr>
        <w:t xml:space="preserve"> sehr vereinfacht zu erklären.</w:t>
      </w:r>
    </w:p>
    <w:p w:rsidR="005A0D6A" w:rsidRDefault="00C331ED" w:rsidP="0098663D">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w:t>
      </w:r>
      <w:r w:rsidR="007F18F5">
        <w:rPr>
          <w:rFonts w:ascii="Arial" w:eastAsia="Times New Roman" w:hAnsi="Arial" w:cs="Arial"/>
          <w:bCs/>
          <w:lang w:eastAsia="de-DE"/>
        </w:rPr>
        <w:t xml:space="preserve">Ein Schwachpunkt des Sondergutachtens ist die reine Konzentration auf den stationären Bereich. Eine mutige Reform muss sektorenübergreifend Denken und den ambulant klinischen Bereich und die </w:t>
      </w:r>
      <w:r>
        <w:rPr>
          <w:rFonts w:ascii="Arial" w:eastAsia="Times New Roman" w:hAnsi="Arial" w:cs="Arial"/>
          <w:bCs/>
          <w:lang w:eastAsia="de-DE"/>
        </w:rPr>
        <w:t>P</w:t>
      </w:r>
      <w:r w:rsidR="007F18F5">
        <w:rPr>
          <w:rFonts w:ascii="Arial" w:eastAsia="Times New Roman" w:hAnsi="Arial" w:cs="Arial"/>
          <w:bCs/>
          <w:lang w:eastAsia="de-DE"/>
        </w:rPr>
        <w:t>otentiale in den Blick nehmen</w:t>
      </w:r>
      <w:r>
        <w:rPr>
          <w:rFonts w:ascii="Arial" w:eastAsia="Times New Roman" w:hAnsi="Arial" w:cs="Arial"/>
          <w:bCs/>
          <w:lang w:eastAsia="de-DE"/>
        </w:rPr>
        <w:t>“, so Dr. Gaß abschließend</w:t>
      </w:r>
      <w:r w:rsidR="00E26E67">
        <w:rPr>
          <w:rFonts w:ascii="Arial" w:eastAsia="Times New Roman" w:hAnsi="Arial" w:cs="Arial"/>
          <w:bCs/>
          <w:lang w:eastAsia="de-DE"/>
        </w:rPr>
        <w:t>.</w:t>
      </w:r>
    </w:p>
    <w:p w:rsidR="005A0D6A" w:rsidRDefault="005A0D6A" w:rsidP="005A0D6A">
      <w:pPr>
        <w:spacing w:line="340" w:lineRule="atLeast"/>
        <w:ind w:right="2268"/>
        <w:jc w:val="both"/>
        <w:rPr>
          <w:rFonts w:ascii="Arial" w:eastAsia="Times New Roman" w:hAnsi="Arial" w:cs="Arial"/>
          <w:bCs/>
          <w:lang w:eastAsia="de-DE"/>
        </w:rPr>
      </w:pPr>
    </w:p>
    <w:p w:rsidR="00383891" w:rsidRPr="00633E3A" w:rsidRDefault="00383891" w:rsidP="00383891">
      <w:pPr>
        <w:spacing w:after="0" w:line="340" w:lineRule="atLeast"/>
        <w:ind w:right="2268"/>
        <w:jc w:val="both"/>
      </w:pPr>
    </w:p>
    <w:p w:rsidR="0021251B" w:rsidRPr="0074373A" w:rsidRDefault="0058674F" w:rsidP="0074373A">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w:t>
      </w:r>
      <w:r w:rsidR="00C331ED">
        <w:rPr>
          <w:rFonts w:ascii="Arial" w:hAnsi="Arial" w:cs="Arial"/>
          <w:color w:val="7F7F7F" w:themeColor="text1" w:themeTint="80"/>
          <w:sz w:val="18"/>
        </w:rPr>
        <w:t>e</w:t>
      </w:r>
      <w:r w:rsidRPr="0058674F">
        <w:rPr>
          <w:rFonts w:ascii="Arial" w:hAnsi="Arial" w:cs="Arial"/>
          <w:color w:val="7F7F7F" w:themeColor="text1" w:themeTint="80"/>
          <w:sz w:val="18"/>
        </w:rPr>
        <w:t xml:space="preserve"> gesetzlich über</w:t>
      </w:r>
      <w:r w:rsidR="008556B9">
        <w:rPr>
          <w:rFonts w:ascii="Arial" w:hAnsi="Arial" w:cs="Arial"/>
          <w:color w:val="7F7F7F" w:themeColor="text1" w:themeTint="80"/>
          <w:sz w:val="18"/>
        </w:rPr>
        <w:t>tragene</w:t>
      </w:r>
      <w:r w:rsidR="00AE0CEE">
        <w:rPr>
          <w:rFonts w:ascii="Arial" w:hAnsi="Arial" w:cs="Arial"/>
          <w:color w:val="7F7F7F" w:themeColor="text1" w:themeTint="80"/>
          <w:sz w:val="18"/>
        </w:rPr>
        <w:t>n</w:t>
      </w:r>
      <w:r w:rsidR="008556B9">
        <w:rPr>
          <w:rFonts w:ascii="Arial" w:hAnsi="Arial" w:cs="Arial"/>
          <w:color w:val="7F7F7F" w:themeColor="text1" w:themeTint="80"/>
          <w:sz w:val="18"/>
        </w:rPr>
        <w:t xml:space="preserv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811" w:rsidRDefault="00DF6811" w:rsidP="008125E6">
      <w:pPr>
        <w:spacing w:after="0"/>
      </w:pPr>
      <w:r>
        <w:separator/>
      </w:r>
    </w:p>
  </w:endnote>
  <w:endnote w:type="continuationSeparator" w:id="0">
    <w:p w:rsidR="00DF6811" w:rsidRDefault="00DF6811"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558671A" wp14:editId="7B77FEBF">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8671A"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811" w:rsidRDefault="00DF6811" w:rsidP="008125E6">
      <w:pPr>
        <w:spacing w:after="0"/>
      </w:pPr>
      <w:r>
        <w:separator/>
      </w:r>
    </w:p>
  </w:footnote>
  <w:footnote w:type="continuationSeparator" w:id="0">
    <w:p w:rsidR="00DF6811" w:rsidRDefault="00DF6811"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CBA36A9" wp14:editId="4ECFCF81">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FC68E4"/>
    <w:multiLevelType w:val="hybridMultilevel"/>
    <w:tmpl w:val="DDBC34EC"/>
    <w:lvl w:ilvl="0" w:tplc="0F0A6598">
      <w:start w:val="3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083A"/>
    <w:rsid w:val="00006E49"/>
    <w:rsid w:val="00015A71"/>
    <w:rsid w:val="00020DA3"/>
    <w:rsid w:val="000210FE"/>
    <w:rsid w:val="00024819"/>
    <w:rsid w:val="00025EF4"/>
    <w:rsid w:val="00026B38"/>
    <w:rsid w:val="00031885"/>
    <w:rsid w:val="00060D57"/>
    <w:rsid w:val="0007527C"/>
    <w:rsid w:val="0008373B"/>
    <w:rsid w:val="00084B39"/>
    <w:rsid w:val="000906C3"/>
    <w:rsid w:val="00092CED"/>
    <w:rsid w:val="00095979"/>
    <w:rsid w:val="00096D20"/>
    <w:rsid w:val="000A31C9"/>
    <w:rsid w:val="000C54EE"/>
    <w:rsid w:val="000D25E1"/>
    <w:rsid w:val="000D4C11"/>
    <w:rsid w:val="000F61BB"/>
    <w:rsid w:val="00111CA4"/>
    <w:rsid w:val="00121889"/>
    <w:rsid w:val="001253E9"/>
    <w:rsid w:val="001333C7"/>
    <w:rsid w:val="00141BC6"/>
    <w:rsid w:val="0014511A"/>
    <w:rsid w:val="001734CD"/>
    <w:rsid w:val="00176B50"/>
    <w:rsid w:val="00183CBD"/>
    <w:rsid w:val="001921E4"/>
    <w:rsid w:val="001962FD"/>
    <w:rsid w:val="00197695"/>
    <w:rsid w:val="001C0544"/>
    <w:rsid w:val="001C3900"/>
    <w:rsid w:val="001C561E"/>
    <w:rsid w:val="001C7245"/>
    <w:rsid w:val="00205E46"/>
    <w:rsid w:val="0021251B"/>
    <w:rsid w:val="002156A6"/>
    <w:rsid w:val="00226BDA"/>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36B40"/>
    <w:rsid w:val="00347B48"/>
    <w:rsid w:val="00350E79"/>
    <w:rsid w:val="00354602"/>
    <w:rsid w:val="00362EF7"/>
    <w:rsid w:val="00363F93"/>
    <w:rsid w:val="00383891"/>
    <w:rsid w:val="00396599"/>
    <w:rsid w:val="003B4AC3"/>
    <w:rsid w:val="003D3A58"/>
    <w:rsid w:val="003E7E92"/>
    <w:rsid w:val="00407552"/>
    <w:rsid w:val="00413F2A"/>
    <w:rsid w:val="00434340"/>
    <w:rsid w:val="00440091"/>
    <w:rsid w:val="004475DC"/>
    <w:rsid w:val="00452B50"/>
    <w:rsid w:val="00462B9F"/>
    <w:rsid w:val="0046608A"/>
    <w:rsid w:val="00482684"/>
    <w:rsid w:val="004915FE"/>
    <w:rsid w:val="004B392D"/>
    <w:rsid w:val="004B5A0A"/>
    <w:rsid w:val="004C2326"/>
    <w:rsid w:val="004E40FA"/>
    <w:rsid w:val="004E47E0"/>
    <w:rsid w:val="004F0985"/>
    <w:rsid w:val="004F46DC"/>
    <w:rsid w:val="0052054C"/>
    <w:rsid w:val="00532B8C"/>
    <w:rsid w:val="0053749D"/>
    <w:rsid w:val="00540AF0"/>
    <w:rsid w:val="00540DD3"/>
    <w:rsid w:val="00560682"/>
    <w:rsid w:val="0056210E"/>
    <w:rsid w:val="00570C6B"/>
    <w:rsid w:val="0058674F"/>
    <w:rsid w:val="00586EFC"/>
    <w:rsid w:val="0059029D"/>
    <w:rsid w:val="005A0D6A"/>
    <w:rsid w:val="005A6566"/>
    <w:rsid w:val="005B067E"/>
    <w:rsid w:val="005B100C"/>
    <w:rsid w:val="005C2BD9"/>
    <w:rsid w:val="005D1C55"/>
    <w:rsid w:val="005E1AF8"/>
    <w:rsid w:val="005F6092"/>
    <w:rsid w:val="005F6514"/>
    <w:rsid w:val="00607330"/>
    <w:rsid w:val="00611DBA"/>
    <w:rsid w:val="00612E3D"/>
    <w:rsid w:val="006314B2"/>
    <w:rsid w:val="00633E3A"/>
    <w:rsid w:val="006365EF"/>
    <w:rsid w:val="00642067"/>
    <w:rsid w:val="006429EE"/>
    <w:rsid w:val="0065306F"/>
    <w:rsid w:val="00653DC6"/>
    <w:rsid w:val="00660B2F"/>
    <w:rsid w:val="006861E1"/>
    <w:rsid w:val="0069255D"/>
    <w:rsid w:val="006937B4"/>
    <w:rsid w:val="006977E8"/>
    <w:rsid w:val="006A2E06"/>
    <w:rsid w:val="006A7679"/>
    <w:rsid w:val="006B4413"/>
    <w:rsid w:val="006C6396"/>
    <w:rsid w:val="006C72CE"/>
    <w:rsid w:val="006D5D72"/>
    <w:rsid w:val="00700218"/>
    <w:rsid w:val="0070619D"/>
    <w:rsid w:val="0070679D"/>
    <w:rsid w:val="00717437"/>
    <w:rsid w:val="00727516"/>
    <w:rsid w:val="00734946"/>
    <w:rsid w:val="0074373A"/>
    <w:rsid w:val="00743C8D"/>
    <w:rsid w:val="007755F0"/>
    <w:rsid w:val="0078717D"/>
    <w:rsid w:val="00790406"/>
    <w:rsid w:val="00795922"/>
    <w:rsid w:val="007C44FC"/>
    <w:rsid w:val="007F18F5"/>
    <w:rsid w:val="008125E6"/>
    <w:rsid w:val="00835799"/>
    <w:rsid w:val="00850E59"/>
    <w:rsid w:val="008556B9"/>
    <w:rsid w:val="0085661D"/>
    <w:rsid w:val="008925EB"/>
    <w:rsid w:val="00894E03"/>
    <w:rsid w:val="008B2132"/>
    <w:rsid w:val="008B37EB"/>
    <w:rsid w:val="008B7F36"/>
    <w:rsid w:val="008C552E"/>
    <w:rsid w:val="008D015E"/>
    <w:rsid w:val="008D1EE4"/>
    <w:rsid w:val="008E50AB"/>
    <w:rsid w:val="008E5967"/>
    <w:rsid w:val="00916366"/>
    <w:rsid w:val="00925BFC"/>
    <w:rsid w:val="0095389B"/>
    <w:rsid w:val="0095543A"/>
    <w:rsid w:val="00957747"/>
    <w:rsid w:val="009701DB"/>
    <w:rsid w:val="00972647"/>
    <w:rsid w:val="009741D5"/>
    <w:rsid w:val="00974A1B"/>
    <w:rsid w:val="00980D81"/>
    <w:rsid w:val="0098663D"/>
    <w:rsid w:val="00995C59"/>
    <w:rsid w:val="00997648"/>
    <w:rsid w:val="009A320B"/>
    <w:rsid w:val="009A4F97"/>
    <w:rsid w:val="009C153C"/>
    <w:rsid w:val="009D26E3"/>
    <w:rsid w:val="009D788B"/>
    <w:rsid w:val="009E0FE7"/>
    <w:rsid w:val="00A15341"/>
    <w:rsid w:val="00A24161"/>
    <w:rsid w:val="00A41756"/>
    <w:rsid w:val="00AC3D7A"/>
    <w:rsid w:val="00AC5BCE"/>
    <w:rsid w:val="00AC66CB"/>
    <w:rsid w:val="00AE0CEE"/>
    <w:rsid w:val="00AE24DB"/>
    <w:rsid w:val="00B06B18"/>
    <w:rsid w:val="00B1353D"/>
    <w:rsid w:val="00B2375C"/>
    <w:rsid w:val="00B34514"/>
    <w:rsid w:val="00B402F1"/>
    <w:rsid w:val="00B52927"/>
    <w:rsid w:val="00B607F4"/>
    <w:rsid w:val="00B61EB6"/>
    <w:rsid w:val="00B65874"/>
    <w:rsid w:val="00B74141"/>
    <w:rsid w:val="00B7543C"/>
    <w:rsid w:val="00B87286"/>
    <w:rsid w:val="00BB0243"/>
    <w:rsid w:val="00BF222D"/>
    <w:rsid w:val="00C16F15"/>
    <w:rsid w:val="00C3203A"/>
    <w:rsid w:val="00C331ED"/>
    <w:rsid w:val="00C55E7D"/>
    <w:rsid w:val="00C867D6"/>
    <w:rsid w:val="00C930CF"/>
    <w:rsid w:val="00C9558C"/>
    <w:rsid w:val="00C96C96"/>
    <w:rsid w:val="00CB748C"/>
    <w:rsid w:val="00CC21C5"/>
    <w:rsid w:val="00CD6E55"/>
    <w:rsid w:val="00CE1A56"/>
    <w:rsid w:val="00CE7AC3"/>
    <w:rsid w:val="00CF3E7F"/>
    <w:rsid w:val="00D0219C"/>
    <w:rsid w:val="00D02C2A"/>
    <w:rsid w:val="00D23C98"/>
    <w:rsid w:val="00D30167"/>
    <w:rsid w:val="00D359AB"/>
    <w:rsid w:val="00D401F2"/>
    <w:rsid w:val="00D45457"/>
    <w:rsid w:val="00D6251F"/>
    <w:rsid w:val="00D63A75"/>
    <w:rsid w:val="00D7129D"/>
    <w:rsid w:val="00D7527B"/>
    <w:rsid w:val="00D766F7"/>
    <w:rsid w:val="00D767B0"/>
    <w:rsid w:val="00D77FC9"/>
    <w:rsid w:val="00D80859"/>
    <w:rsid w:val="00D84AF8"/>
    <w:rsid w:val="00D852B3"/>
    <w:rsid w:val="00D9532B"/>
    <w:rsid w:val="00DA13E6"/>
    <w:rsid w:val="00DA6CB4"/>
    <w:rsid w:val="00DB5181"/>
    <w:rsid w:val="00DC1978"/>
    <w:rsid w:val="00DD0FDE"/>
    <w:rsid w:val="00DD49DE"/>
    <w:rsid w:val="00DD648D"/>
    <w:rsid w:val="00DF11A9"/>
    <w:rsid w:val="00DF579F"/>
    <w:rsid w:val="00DF6811"/>
    <w:rsid w:val="00E26E67"/>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6BA7E4"/>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8083">
      <w:bodyDiv w:val="1"/>
      <w:marLeft w:val="0"/>
      <w:marRight w:val="0"/>
      <w:marTop w:val="0"/>
      <w:marBottom w:val="0"/>
      <w:divBdr>
        <w:top w:val="none" w:sz="0" w:space="0" w:color="auto"/>
        <w:left w:val="none" w:sz="0" w:space="0" w:color="auto"/>
        <w:bottom w:val="none" w:sz="0" w:space="0" w:color="auto"/>
        <w:right w:val="none" w:sz="0" w:space="0" w:color="auto"/>
      </w:divBdr>
    </w:div>
    <w:div w:id="286936410">
      <w:bodyDiv w:val="1"/>
      <w:marLeft w:val="0"/>
      <w:marRight w:val="0"/>
      <w:marTop w:val="0"/>
      <w:marBottom w:val="0"/>
      <w:divBdr>
        <w:top w:val="none" w:sz="0" w:space="0" w:color="auto"/>
        <w:left w:val="none" w:sz="0" w:space="0" w:color="auto"/>
        <w:bottom w:val="none" w:sz="0" w:space="0" w:color="auto"/>
        <w:right w:val="none" w:sz="0" w:space="0" w:color="auto"/>
      </w:divBdr>
    </w:div>
    <w:div w:id="359667840">
      <w:bodyDiv w:val="1"/>
      <w:marLeft w:val="0"/>
      <w:marRight w:val="0"/>
      <w:marTop w:val="0"/>
      <w:marBottom w:val="0"/>
      <w:divBdr>
        <w:top w:val="none" w:sz="0" w:space="0" w:color="auto"/>
        <w:left w:val="none" w:sz="0" w:space="0" w:color="auto"/>
        <w:bottom w:val="none" w:sz="0" w:space="0" w:color="auto"/>
        <w:right w:val="none" w:sz="0" w:space="0" w:color="auto"/>
      </w:divBdr>
    </w:div>
    <w:div w:id="57285759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47993912">
      <w:bodyDiv w:val="1"/>
      <w:marLeft w:val="0"/>
      <w:marRight w:val="0"/>
      <w:marTop w:val="0"/>
      <w:marBottom w:val="0"/>
      <w:divBdr>
        <w:top w:val="none" w:sz="0" w:space="0" w:color="auto"/>
        <w:left w:val="none" w:sz="0" w:space="0" w:color="auto"/>
        <w:bottom w:val="none" w:sz="0" w:space="0" w:color="auto"/>
        <w:right w:val="none" w:sz="0" w:space="0" w:color="auto"/>
      </w:divBdr>
      <w:divsChild>
        <w:div w:id="1070159232">
          <w:marLeft w:val="0"/>
          <w:marRight w:val="0"/>
          <w:marTop w:val="0"/>
          <w:marBottom w:val="0"/>
          <w:divBdr>
            <w:top w:val="none" w:sz="0" w:space="0" w:color="auto"/>
            <w:left w:val="none" w:sz="0" w:space="0" w:color="auto"/>
            <w:bottom w:val="none" w:sz="0" w:space="0" w:color="auto"/>
            <w:right w:val="none" w:sz="0" w:space="0" w:color="auto"/>
          </w:divBdr>
        </w:div>
      </w:divsChild>
    </w:div>
    <w:div w:id="89859587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78448630">
      <w:bodyDiv w:val="1"/>
      <w:marLeft w:val="0"/>
      <w:marRight w:val="0"/>
      <w:marTop w:val="0"/>
      <w:marBottom w:val="0"/>
      <w:divBdr>
        <w:top w:val="none" w:sz="0" w:space="0" w:color="auto"/>
        <w:left w:val="none" w:sz="0" w:space="0" w:color="auto"/>
        <w:bottom w:val="none" w:sz="0" w:space="0" w:color="auto"/>
        <w:right w:val="none" w:sz="0" w:space="0" w:color="auto"/>
      </w:divBdr>
      <w:divsChild>
        <w:div w:id="1422264082">
          <w:marLeft w:val="0"/>
          <w:marRight w:val="0"/>
          <w:marTop w:val="0"/>
          <w:marBottom w:val="0"/>
          <w:divBdr>
            <w:top w:val="none" w:sz="0" w:space="0" w:color="auto"/>
            <w:left w:val="none" w:sz="0" w:space="0" w:color="auto"/>
            <w:bottom w:val="none" w:sz="0" w:space="0" w:color="auto"/>
            <w:right w:val="none" w:sz="0" w:space="0" w:color="auto"/>
          </w:divBdr>
        </w:div>
      </w:divsChild>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018774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0B84-83BA-4C2A-B88B-2A3D20D8B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3</cp:revision>
  <cp:lastPrinted>2022-05-30T12:10:00Z</cp:lastPrinted>
  <dcterms:created xsi:type="dcterms:W3CDTF">2022-05-30T12:44:00Z</dcterms:created>
  <dcterms:modified xsi:type="dcterms:W3CDTF">2022-05-30T12:57:00Z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