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404A3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57301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den </w:t>
      </w:r>
      <w:bookmarkStart w:id="0" w:name="_GoBack"/>
      <w:bookmarkEnd w:id="0"/>
      <w:r w:rsidR="00404A3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GKV-Finanzergebnissen im 1. </w:t>
      </w:r>
      <w:r w:rsidR="00286510">
        <w:rPr>
          <w:rFonts w:ascii="Arial" w:eastAsia="Times New Roman" w:hAnsi="Arial" w:cs="Times New Roman"/>
          <w:b/>
          <w:szCs w:val="20"/>
          <w:u w:val="single"/>
          <w:lang w:eastAsia="de-DE"/>
        </w:rPr>
        <w:t>bis</w:t>
      </w:r>
      <w:r w:rsidR="009B56A5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3. </w:t>
      </w:r>
      <w:r w:rsidR="00404A3B">
        <w:rPr>
          <w:rFonts w:ascii="Arial" w:eastAsia="Times New Roman" w:hAnsi="Arial" w:cs="Times New Roman"/>
          <w:b/>
          <w:szCs w:val="20"/>
          <w:u w:val="single"/>
          <w:lang w:eastAsia="de-DE"/>
        </w:rPr>
        <w:t>Quartal 2016</w:t>
      </w:r>
    </w:p>
    <w:p w:rsidR="001962FD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404A3B" w:rsidRPr="00404A3B" w:rsidRDefault="00172036" w:rsidP="00951F18">
      <w:pPr>
        <w:spacing w:after="0" w:line="340" w:lineRule="atLeast"/>
        <w:ind w:right="850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Gelder müssen auch bei den Krankenhäusern ankommen</w:t>
      </w:r>
    </w:p>
    <w:p w:rsidR="001962FD" w:rsidRPr="00951F18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sz w:val="22"/>
          <w:szCs w:val="22"/>
          <w:lang w:eastAsia="de-DE"/>
        </w:rPr>
      </w:pPr>
    </w:p>
    <w:p w:rsidR="00383891" w:rsidRPr="00951F18" w:rsidRDefault="00D30167" w:rsidP="00383891">
      <w:pPr>
        <w:spacing w:after="0" w:line="340" w:lineRule="atLeast"/>
        <w:ind w:right="2268"/>
        <w:jc w:val="both"/>
        <w:rPr>
          <w:rFonts w:ascii="Arial" w:hAnsi="Arial" w:cs="Arial"/>
          <w:sz w:val="22"/>
          <w:szCs w:val="22"/>
        </w:rPr>
      </w:pPr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Berlin, </w:t>
      </w:r>
      <w:r w:rsidR="004A2AA6" w:rsidRPr="00951F18">
        <w:rPr>
          <w:rFonts w:ascii="Arial" w:eastAsia="Times New Roman" w:hAnsi="Arial" w:cs="Arial"/>
          <w:sz w:val="22"/>
          <w:szCs w:val="22"/>
          <w:lang w:eastAsia="de-DE"/>
        </w:rPr>
        <w:t>08</w:t>
      </w:r>
      <w:r w:rsidR="0056210E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. </w:t>
      </w:r>
      <w:r w:rsidR="004A2AA6" w:rsidRPr="00951F18">
        <w:rPr>
          <w:rFonts w:ascii="Arial" w:eastAsia="Times New Roman" w:hAnsi="Arial" w:cs="Arial"/>
          <w:sz w:val="22"/>
          <w:szCs w:val="22"/>
          <w:lang w:eastAsia="de-DE"/>
        </w:rPr>
        <w:t>Dezember</w:t>
      </w:r>
      <w:r w:rsidR="00404A3B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A346C" w:rsidRPr="00951F18">
        <w:rPr>
          <w:rFonts w:ascii="Arial" w:eastAsia="Times New Roman" w:hAnsi="Arial" w:cs="Arial"/>
          <w:sz w:val="22"/>
          <w:szCs w:val="22"/>
          <w:lang w:eastAsia="de-DE"/>
        </w:rPr>
        <w:t>2016</w:t>
      </w:r>
      <w:r w:rsidR="0052054C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–</w:t>
      </w:r>
      <w:r w:rsidR="00404A3B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B53531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Anlässlich der </w:t>
      </w:r>
      <w:r w:rsidR="00404A3B" w:rsidRPr="00951F18">
        <w:rPr>
          <w:rFonts w:ascii="Arial" w:hAnsi="Arial" w:cs="Arial"/>
          <w:sz w:val="22"/>
          <w:szCs w:val="22"/>
        </w:rPr>
        <w:t>Bekanntgabe der Finanzergebnisse der Gesetzlichen Krankenversicherung (GKV) für das 1.</w:t>
      </w:r>
      <w:r w:rsidR="00286510">
        <w:rPr>
          <w:rFonts w:ascii="Arial" w:hAnsi="Arial" w:cs="Arial"/>
          <w:sz w:val="22"/>
          <w:szCs w:val="22"/>
        </w:rPr>
        <w:t xml:space="preserve"> bis </w:t>
      </w:r>
      <w:r w:rsidR="00712B99" w:rsidRPr="00951F18">
        <w:rPr>
          <w:rFonts w:ascii="Arial" w:hAnsi="Arial" w:cs="Arial"/>
          <w:sz w:val="22"/>
          <w:szCs w:val="22"/>
        </w:rPr>
        <w:t xml:space="preserve">3. </w:t>
      </w:r>
      <w:r w:rsidR="00404A3B" w:rsidRPr="00951F18">
        <w:rPr>
          <w:rFonts w:ascii="Arial" w:hAnsi="Arial" w:cs="Arial"/>
          <w:sz w:val="22"/>
          <w:szCs w:val="22"/>
        </w:rPr>
        <w:t>Quartal 2016 erklärt der Hauptgeschäftsführer der Deutschen Krankenhausgesellschaft (DKG), Georg Baum:</w:t>
      </w:r>
    </w:p>
    <w:p w:rsidR="004775C3" w:rsidRPr="00951F18" w:rsidRDefault="004775C3" w:rsidP="004775C3">
      <w:pPr>
        <w:spacing w:after="0" w:line="340" w:lineRule="atLeast"/>
        <w:ind w:right="2268"/>
        <w:jc w:val="both"/>
        <w:rPr>
          <w:rFonts w:ascii="Arial" w:hAnsi="Arial" w:cs="Arial"/>
          <w:sz w:val="22"/>
          <w:szCs w:val="22"/>
        </w:rPr>
      </w:pPr>
    </w:p>
    <w:p w:rsidR="004775C3" w:rsidRPr="00951F18" w:rsidRDefault="004775C3" w:rsidP="004775C3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951F18">
        <w:rPr>
          <w:rFonts w:ascii="Arial" w:hAnsi="Arial" w:cs="Arial"/>
          <w:sz w:val="22"/>
          <w:szCs w:val="22"/>
        </w:rPr>
        <w:t>„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Erneut hinkt die Entwicklung der Ausgaben für die Krankenhausbehandlung der Gesamtentwicklung der </w:t>
      </w:r>
      <w:r w:rsidR="00712B99" w:rsidRPr="00951F18">
        <w:rPr>
          <w:rFonts w:ascii="Arial" w:eastAsia="Times New Roman" w:hAnsi="Arial" w:cs="Arial"/>
          <w:sz w:val="22"/>
          <w:szCs w:val="22"/>
          <w:lang w:eastAsia="de-DE"/>
        </w:rPr>
        <w:t>Leistungsa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>usgaben hinterher. Mit dem moderaten Anstieg von 2,5 Prozent je Versicherte</w:t>
      </w:r>
      <w:r w:rsidR="00286510">
        <w:rPr>
          <w:rFonts w:ascii="Arial" w:eastAsia="Times New Roman" w:hAnsi="Arial" w:cs="Arial"/>
          <w:sz w:val="22"/>
          <w:szCs w:val="22"/>
          <w:lang w:eastAsia="de-DE"/>
        </w:rPr>
        <w:t>m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="00172036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>liegen wir im stationären Bereich weit unter de</w:t>
      </w:r>
      <w:r w:rsidR="00286510">
        <w:rPr>
          <w:rFonts w:ascii="Arial" w:eastAsia="Times New Roman" w:hAnsi="Arial" w:cs="Arial"/>
          <w:sz w:val="22"/>
          <w:szCs w:val="22"/>
          <w:lang w:eastAsia="de-DE"/>
        </w:rPr>
        <w:t>r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durchschnittlichen Ausgaben</w:t>
      </w:r>
      <w:r w:rsidR="004A2AA6" w:rsidRPr="00951F18">
        <w:rPr>
          <w:rFonts w:ascii="Arial" w:eastAsia="Times New Roman" w:hAnsi="Arial" w:cs="Arial"/>
          <w:sz w:val="22"/>
          <w:szCs w:val="22"/>
          <w:lang w:eastAsia="de-DE"/>
        </w:rPr>
        <w:t>ent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>w</w:t>
      </w:r>
      <w:r w:rsidR="004A2AA6" w:rsidRPr="00951F18">
        <w:rPr>
          <w:rFonts w:ascii="Arial" w:eastAsia="Times New Roman" w:hAnsi="Arial" w:cs="Arial"/>
          <w:sz w:val="22"/>
          <w:szCs w:val="22"/>
          <w:lang w:eastAsia="de-DE"/>
        </w:rPr>
        <w:t>ickl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>ung von 3,</w:t>
      </w:r>
      <w:r w:rsidR="00712B99" w:rsidRPr="00951F18">
        <w:rPr>
          <w:rFonts w:ascii="Arial" w:eastAsia="Times New Roman" w:hAnsi="Arial" w:cs="Arial"/>
          <w:sz w:val="22"/>
          <w:szCs w:val="22"/>
          <w:lang w:eastAsia="de-DE"/>
        </w:rPr>
        <w:t>1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Prozent. Kein anderer </w:t>
      </w:r>
      <w:r w:rsidR="00747063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maßgeblicher Leistungsbereich 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>hat ein</w:t>
      </w:r>
      <w:r w:rsidR="00712B99" w:rsidRPr="00951F18">
        <w:rPr>
          <w:rFonts w:ascii="Arial" w:eastAsia="Times New Roman" w:hAnsi="Arial" w:cs="Arial"/>
          <w:sz w:val="22"/>
          <w:szCs w:val="22"/>
          <w:lang w:eastAsia="de-DE"/>
        </w:rPr>
        <w:t>en</w:t>
      </w:r>
      <w:r w:rsidR="009B56A5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so geringen Zuwachs zu verzeichnen. </w:t>
      </w:r>
      <w:r w:rsidR="00286510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Der markante Anstieg der Verwaltungskosten entzieht Mittel, die in der </w:t>
      </w:r>
      <w:r w:rsidR="00286510">
        <w:rPr>
          <w:rFonts w:ascii="Arial" w:eastAsia="Times New Roman" w:hAnsi="Arial" w:cs="Arial"/>
          <w:sz w:val="22"/>
          <w:szCs w:val="22"/>
          <w:lang w:eastAsia="de-DE"/>
        </w:rPr>
        <w:t>medizinischen Versorgung fehlen</w:t>
      </w:r>
      <w:r w:rsidR="00286510" w:rsidRPr="00951F18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:rsidR="004775C3" w:rsidRPr="00951F18" w:rsidRDefault="004775C3" w:rsidP="004775C3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9B56A5" w:rsidRPr="00951F18" w:rsidRDefault="009B56A5" w:rsidP="004775C3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Dies liegt auch daran, dass die </w:t>
      </w:r>
      <w:r w:rsidR="004775C3" w:rsidRPr="00951F18">
        <w:rPr>
          <w:rFonts w:ascii="Arial" w:eastAsia="Times New Roman" w:hAnsi="Arial" w:cs="Arial"/>
          <w:sz w:val="22"/>
          <w:szCs w:val="22"/>
          <w:lang w:eastAsia="de-DE"/>
        </w:rPr>
        <w:t>Finanzierungsverbesserungen</w:t>
      </w:r>
      <w:r w:rsidRPr="00951F18">
        <w:rPr>
          <w:rFonts w:ascii="Arial" w:eastAsia="Times New Roman" w:hAnsi="Arial" w:cs="Arial"/>
          <w:sz w:val="22"/>
          <w:szCs w:val="22"/>
          <w:lang w:eastAsia="de-DE"/>
        </w:rPr>
        <w:t>, die die Krankenhausreform vorgesehen hat, durch verschleppende Strategien der Krankenkassen noch immer nur teilweise bei den Krankenhäusern angekommen sind oder aber</w:t>
      </w:r>
      <w:r w:rsidR="00286510">
        <w:rPr>
          <w:rFonts w:ascii="Arial" w:eastAsia="Times New Roman" w:hAnsi="Arial" w:cs="Arial"/>
          <w:sz w:val="22"/>
          <w:szCs w:val="22"/>
          <w:lang w:eastAsia="de-DE"/>
        </w:rPr>
        <w:t>,</w:t>
      </w:r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wie gerade bei der Notfallvergütung geschehen, gar nicht ankommen werden.</w:t>
      </w:r>
    </w:p>
    <w:p w:rsidR="009B56A5" w:rsidRPr="00951F18" w:rsidRDefault="009B56A5" w:rsidP="004775C3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</w:p>
    <w:p w:rsidR="00404A3B" w:rsidRPr="00951F18" w:rsidRDefault="009B56A5" w:rsidP="004775C3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951F18">
        <w:rPr>
          <w:rFonts w:ascii="Arial" w:eastAsia="Times New Roman" w:hAnsi="Arial" w:cs="Arial"/>
          <w:sz w:val="22"/>
          <w:szCs w:val="22"/>
          <w:lang w:eastAsia="de-DE"/>
        </w:rPr>
        <w:t>Zudem zeigt sich ein</w:t>
      </w:r>
      <w:r w:rsidR="00712B99" w:rsidRPr="00951F18">
        <w:rPr>
          <w:rFonts w:ascii="Arial" w:eastAsia="Times New Roman" w:hAnsi="Arial" w:cs="Arial"/>
          <w:sz w:val="22"/>
          <w:szCs w:val="22"/>
          <w:lang w:eastAsia="de-DE"/>
        </w:rPr>
        <w:t>mal</w:t>
      </w:r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mehr, dass die Horrorszenarien der Krankenkassen und des von ihnen instrumentalisierten </w:t>
      </w:r>
      <w:proofErr w:type="spellStart"/>
      <w:r w:rsidR="004775C3" w:rsidRPr="00951F18">
        <w:rPr>
          <w:rFonts w:ascii="Arial" w:eastAsia="Times New Roman" w:hAnsi="Arial" w:cs="Arial"/>
          <w:sz w:val="22"/>
          <w:szCs w:val="22"/>
          <w:lang w:eastAsia="de-DE"/>
        </w:rPr>
        <w:t>Schätzerkreis</w:t>
      </w:r>
      <w:r w:rsidR="00286510">
        <w:rPr>
          <w:rFonts w:ascii="Arial" w:eastAsia="Times New Roman" w:hAnsi="Arial" w:cs="Arial"/>
          <w:sz w:val="22"/>
          <w:szCs w:val="22"/>
          <w:lang w:eastAsia="de-DE"/>
        </w:rPr>
        <w:t>es</w:t>
      </w:r>
      <w:proofErr w:type="spellEnd"/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4775C3" w:rsidRPr="00951F18">
        <w:rPr>
          <w:rFonts w:ascii="Arial" w:eastAsia="Times New Roman" w:hAnsi="Arial" w:cs="Arial"/>
          <w:sz w:val="22"/>
          <w:szCs w:val="22"/>
          <w:lang w:eastAsia="de-DE"/>
        </w:rPr>
        <w:t>bewusst überhöht</w:t>
      </w:r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e Entwicklungen prophezeien, um die </w:t>
      </w:r>
      <w:r w:rsidR="004775C3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Politik unter Druck </w:t>
      </w:r>
      <w:r w:rsidRPr="00951F18">
        <w:rPr>
          <w:rFonts w:ascii="Arial" w:eastAsia="Times New Roman" w:hAnsi="Arial" w:cs="Arial"/>
          <w:sz w:val="22"/>
          <w:szCs w:val="22"/>
          <w:lang w:eastAsia="de-DE"/>
        </w:rPr>
        <w:t>zu setzen</w:t>
      </w:r>
      <w:r w:rsidR="004775C3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. </w:t>
      </w:r>
      <w:r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Hier gilt weiter unsere Forderung, dass die </w:t>
      </w:r>
      <w:r w:rsidR="004775C3" w:rsidRPr="00951F18">
        <w:rPr>
          <w:rFonts w:ascii="Arial" w:eastAsia="Times New Roman" w:hAnsi="Arial" w:cs="Arial"/>
          <w:sz w:val="22"/>
          <w:szCs w:val="22"/>
          <w:lang w:eastAsia="de-DE"/>
        </w:rPr>
        <w:t>maßgeblichen Leistungserbringerorganisationen in den Schätzerkreis einbezogen werden.“</w:t>
      </w:r>
      <w:r w:rsidR="00951F18" w:rsidRPr="00951F18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F81D31">
      <w:pPr>
        <w:tabs>
          <w:tab w:val="left" w:pos="7371"/>
          <w:tab w:val="left" w:pos="7513"/>
        </w:tabs>
        <w:spacing w:line="280" w:lineRule="atLeast"/>
        <w:ind w:right="2268"/>
        <w:jc w:val="both"/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34" w:rsidRDefault="00673134" w:rsidP="008125E6">
      <w:pPr>
        <w:spacing w:after="0"/>
      </w:pPr>
      <w:r>
        <w:separator/>
      </w:r>
    </w:p>
  </w:endnote>
  <w:endnote w:type="continuationSeparator" w:id="0">
    <w:p w:rsidR="00673134" w:rsidRDefault="0067313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34" w:rsidRDefault="00673134" w:rsidP="008125E6">
      <w:pPr>
        <w:spacing w:after="0"/>
      </w:pPr>
      <w:r>
        <w:separator/>
      </w:r>
    </w:p>
  </w:footnote>
  <w:footnote w:type="continuationSeparator" w:id="0">
    <w:p w:rsidR="00673134" w:rsidRDefault="0067313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81D3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72036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03BC"/>
    <w:rsid w:val="00286510"/>
    <w:rsid w:val="002875EB"/>
    <w:rsid w:val="002A44EC"/>
    <w:rsid w:val="002B4C49"/>
    <w:rsid w:val="002C1659"/>
    <w:rsid w:val="002D20E0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4A3B"/>
    <w:rsid w:val="00407552"/>
    <w:rsid w:val="00413F2A"/>
    <w:rsid w:val="00440091"/>
    <w:rsid w:val="00452B50"/>
    <w:rsid w:val="00465811"/>
    <w:rsid w:val="0046608A"/>
    <w:rsid w:val="004775C3"/>
    <w:rsid w:val="004915FE"/>
    <w:rsid w:val="004A2AA6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73018"/>
    <w:rsid w:val="0058674F"/>
    <w:rsid w:val="00586EFC"/>
    <w:rsid w:val="005A6566"/>
    <w:rsid w:val="005B067E"/>
    <w:rsid w:val="005C2BD9"/>
    <w:rsid w:val="005D1C55"/>
    <w:rsid w:val="005F6092"/>
    <w:rsid w:val="005F6514"/>
    <w:rsid w:val="00601E36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73134"/>
    <w:rsid w:val="006861E1"/>
    <w:rsid w:val="006937B4"/>
    <w:rsid w:val="006B4413"/>
    <w:rsid w:val="006C6396"/>
    <w:rsid w:val="006C72CE"/>
    <w:rsid w:val="006E4C99"/>
    <w:rsid w:val="00700218"/>
    <w:rsid w:val="0070619D"/>
    <w:rsid w:val="00712B99"/>
    <w:rsid w:val="00717437"/>
    <w:rsid w:val="00734946"/>
    <w:rsid w:val="00747063"/>
    <w:rsid w:val="007755F0"/>
    <w:rsid w:val="00795922"/>
    <w:rsid w:val="007C44FC"/>
    <w:rsid w:val="008125E6"/>
    <w:rsid w:val="00832FB3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1F18"/>
    <w:rsid w:val="0095543A"/>
    <w:rsid w:val="00957747"/>
    <w:rsid w:val="00995C59"/>
    <w:rsid w:val="00997648"/>
    <w:rsid w:val="009A320B"/>
    <w:rsid w:val="009A4F97"/>
    <w:rsid w:val="009B56A5"/>
    <w:rsid w:val="009D26E3"/>
    <w:rsid w:val="009E0FE7"/>
    <w:rsid w:val="00A15341"/>
    <w:rsid w:val="00A41756"/>
    <w:rsid w:val="00A56A78"/>
    <w:rsid w:val="00AC5BCE"/>
    <w:rsid w:val="00AE24DB"/>
    <w:rsid w:val="00B06B18"/>
    <w:rsid w:val="00B1353D"/>
    <w:rsid w:val="00B34514"/>
    <w:rsid w:val="00B52927"/>
    <w:rsid w:val="00B53531"/>
    <w:rsid w:val="00B65874"/>
    <w:rsid w:val="00B7543C"/>
    <w:rsid w:val="00B87286"/>
    <w:rsid w:val="00BB0243"/>
    <w:rsid w:val="00BE0217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142F7"/>
    <w:rsid w:val="00E31F3B"/>
    <w:rsid w:val="00E40E2B"/>
    <w:rsid w:val="00E43AB7"/>
    <w:rsid w:val="00E71D54"/>
    <w:rsid w:val="00E865D6"/>
    <w:rsid w:val="00E87038"/>
    <w:rsid w:val="00EB444B"/>
    <w:rsid w:val="00ED3823"/>
    <w:rsid w:val="00F17109"/>
    <w:rsid w:val="00F258F9"/>
    <w:rsid w:val="00F4622D"/>
    <w:rsid w:val="00F47CA5"/>
    <w:rsid w:val="00F77C15"/>
    <w:rsid w:val="00F8139F"/>
    <w:rsid w:val="00F81D31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0AD67-03B3-4280-8021-B2046F44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2016-12-08T11:49:00Z</cp:lastPrinted>
  <dcterms:created xsi:type="dcterms:W3CDTF">2016-12-08T09:36:00Z</dcterms:created>
  <dcterms:modified xsi:type="dcterms:W3CDTF">2016-12-08T11:50:00Z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