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1B995" w14:textId="415626ED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14:paraId="3AB0E1BE" w14:textId="35AA2A9D" w:rsidR="00031885" w:rsidRDefault="00031885">
      <w:pPr>
        <w:rPr>
          <w:rFonts w:ascii="Arial" w:hAnsi="Arial" w:cs="Arial"/>
          <w:sz w:val="22"/>
          <w:szCs w:val="22"/>
        </w:rPr>
      </w:pPr>
    </w:p>
    <w:p w14:paraId="309DDC81" w14:textId="2324ED31" w:rsidR="00D93212" w:rsidRDefault="00D30167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>DKG zu</w:t>
      </w:r>
      <w:r w:rsidR="00CE59E8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den </w:t>
      </w:r>
      <w:r w:rsidR="00CE59E8" w:rsidRPr="00CE59E8">
        <w:rPr>
          <w:rFonts w:ascii="Arial" w:eastAsia="Times New Roman" w:hAnsi="Arial" w:cs="Times New Roman"/>
          <w:b/>
          <w:szCs w:val="20"/>
          <w:u w:val="single"/>
          <w:lang w:eastAsia="de-DE"/>
        </w:rPr>
        <w:t>Ergebnisse</w:t>
      </w:r>
      <w:r w:rsidR="00CE59E8">
        <w:rPr>
          <w:rFonts w:ascii="Arial" w:eastAsia="Times New Roman" w:hAnsi="Arial" w:cs="Times New Roman"/>
          <w:b/>
          <w:szCs w:val="20"/>
          <w:u w:val="single"/>
          <w:lang w:eastAsia="de-DE"/>
        </w:rPr>
        <w:t>n</w:t>
      </w:r>
      <w:r w:rsidR="00CE59E8" w:rsidRPr="00CE59E8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</w:t>
      </w:r>
      <w:r w:rsidR="001F0F3B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der Studie </w:t>
      </w:r>
      <w:r w:rsidR="00CE59E8" w:rsidRPr="00CE59E8">
        <w:rPr>
          <w:rFonts w:ascii="Arial" w:eastAsia="Times New Roman" w:hAnsi="Arial" w:cs="Times New Roman"/>
          <w:b/>
          <w:szCs w:val="20"/>
          <w:u w:val="single"/>
          <w:lang w:eastAsia="de-DE"/>
        </w:rPr>
        <w:t>des Europäische</w:t>
      </w:r>
      <w:r w:rsidR="00CE59E8">
        <w:rPr>
          <w:rFonts w:ascii="Arial" w:eastAsia="Times New Roman" w:hAnsi="Arial" w:cs="Times New Roman"/>
          <w:b/>
          <w:szCs w:val="20"/>
          <w:u w:val="single"/>
          <w:lang w:eastAsia="de-DE"/>
        </w:rPr>
        <w:t>n</w:t>
      </w:r>
      <w:r w:rsidR="00F651E0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</w:t>
      </w:r>
      <w:bookmarkStart w:id="0" w:name="_GoBack"/>
      <w:bookmarkEnd w:id="0"/>
      <w:r w:rsidR="00CE59E8" w:rsidRPr="00CE59E8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Zentrums für </w:t>
      </w:r>
    </w:p>
    <w:p w14:paraId="61E507E3" w14:textId="157DBA6C" w:rsidR="001962FD" w:rsidRDefault="00CE59E8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 w:rsidRPr="00CE59E8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die Prävention und Kontrolle von Krankheiten </w:t>
      </w:r>
      <w:r w:rsidR="001F0F3B">
        <w:rPr>
          <w:rFonts w:ascii="Arial" w:eastAsia="Times New Roman" w:hAnsi="Arial" w:cs="Times New Roman"/>
          <w:b/>
          <w:szCs w:val="20"/>
          <w:u w:val="single"/>
          <w:lang w:eastAsia="de-DE"/>
        </w:rPr>
        <w:t>(ECDC)</w:t>
      </w:r>
    </w:p>
    <w:p w14:paraId="6DF71387" w14:textId="77777777"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14:paraId="2A6C6D20" w14:textId="36435B4B" w:rsidR="001962FD" w:rsidRPr="001962FD" w:rsidRDefault="00CE59E8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b/>
          <w:sz w:val="32"/>
          <w:szCs w:val="32"/>
          <w:lang w:eastAsia="de-DE"/>
        </w:rPr>
      </w:pPr>
      <w:r>
        <w:rPr>
          <w:rFonts w:ascii="Arial" w:eastAsia="Times New Roman" w:hAnsi="Arial" w:cs="Times New Roman"/>
          <w:b/>
          <w:sz w:val="32"/>
          <w:szCs w:val="32"/>
          <w:lang w:eastAsia="de-DE"/>
        </w:rPr>
        <w:t>Der Kampf gegen Keime dauert an – mit Erfolgen</w:t>
      </w:r>
    </w:p>
    <w:p w14:paraId="1CA3406A" w14:textId="77777777"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14:paraId="65EEBBBF" w14:textId="484A2F09" w:rsidR="00CE59E8" w:rsidRDefault="00D30167" w:rsidP="00CE59E8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262C00">
        <w:rPr>
          <w:rFonts w:ascii="Arial" w:eastAsia="Times New Roman" w:hAnsi="Arial" w:cs="Arial"/>
          <w:lang w:eastAsia="de-DE"/>
        </w:rPr>
        <w:t>19</w:t>
      </w:r>
      <w:r w:rsidR="0056210E" w:rsidRPr="00633E3A">
        <w:rPr>
          <w:rFonts w:ascii="Arial" w:eastAsia="Times New Roman" w:hAnsi="Arial" w:cs="Arial"/>
          <w:lang w:eastAsia="de-DE"/>
        </w:rPr>
        <w:t xml:space="preserve">. </w:t>
      </w:r>
      <w:r w:rsidR="00CE59E8">
        <w:rPr>
          <w:rFonts w:ascii="Arial" w:eastAsia="Times New Roman" w:hAnsi="Arial" w:cs="Arial"/>
          <w:lang w:eastAsia="de-DE"/>
        </w:rPr>
        <w:t>Oktober</w:t>
      </w:r>
      <w:r w:rsidR="00FA346C">
        <w:rPr>
          <w:rFonts w:ascii="Arial" w:eastAsia="Times New Roman" w:hAnsi="Arial" w:cs="Arial"/>
          <w:lang w:eastAsia="de-DE"/>
        </w:rPr>
        <w:t xml:space="preserve"> 2016</w:t>
      </w:r>
      <w:r w:rsidR="0052054C" w:rsidRPr="00633E3A">
        <w:rPr>
          <w:rFonts w:ascii="Arial" w:eastAsia="Times New Roman" w:hAnsi="Arial" w:cs="Arial"/>
          <w:lang w:eastAsia="de-DE"/>
        </w:rPr>
        <w:t xml:space="preserve"> –</w:t>
      </w:r>
      <w:r w:rsidR="004B5A0A" w:rsidRPr="00633E3A">
        <w:rPr>
          <w:rFonts w:ascii="Arial" w:eastAsia="Times New Roman" w:hAnsi="Arial" w:cs="Arial"/>
          <w:lang w:eastAsia="de-DE"/>
        </w:rPr>
        <w:t xml:space="preserve"> </w:t>
      </w:r>
      <w:r w:rsidR="00CE59E8" w:rsidRPr="00CE59E8">
        <w:rPr>
          <w:rFonts w:ascii="Arial" w:eastAsia="Times New Roman" w:hAnsi="Arial" w:cs="Arial"/>
          <w:lang w:eastAsia="de-DE"/>
        </w:rPr>
        <w:t xml:space="preserve">Die Ergebnisse </w:t>
      </w:r>
      <w:r w:rsidR="001F0F3B">
        <w:rPr>
          <w:rFonts w:ascii="Arial" w:eastAsia="Times New Roman" w:hAnsi="Arial" w:cs="Arial"/>
          <w:lang w:eastAsia="de-DE"/>
        </w:rPr>
        <w:t xml:space="preserve">der Studie </w:t>
      </w:r>
      <w:r w:rsidR="00CE59E8" w:rsidRPr="00CE59E8">
        <w:rPr>
          <w:rFonts w:ascii="Arial" w:eastAsia="Times New Roman" w:hAnsi="Arial" w:cs="Arial"/>
          <w:lang w:eastAsia="de-DE"/>
        </w:rPr>
        <w:t>des Europäische</w:t>
      </w:r>
      <w:r w:rsidR="001F0F3B">
        <w:rPr>
          <w:rFonts w:ascii="Arial" w:eastAsia="Times New Roman" w:hAnsi="Arial" w:cs="Arial"/>
          <w:lang w:eastAsia="de-DE"/>
        </w:rPr>
        <w:t>n</w:t>
      </w:r>
      <w:r w:rsidR="00CE59E8" w:rsidRPr="00CE59E8">
        <w:rPr>
          <w:rFonts w:ascii="Arial" w:eastAsia="Times New Roman" w:hAnsi="Arial" w:cs="Arial"/>
          <w:lang w:eastAsia="de-DE"/>
        </w:rPr>
        <w:t xml:space="preserve"> Zentrums für die Prävention und Kontrolle von Krankheiten zu Kranken</w:t>
      </w:r>
      <w:r w:rsidR="001F0F3B">
        <w:rPr>
          <w:rFonts w:ascii="Arial" w:eastAsia="Times New Roman" w:hAnsi="Arial" w:cs="Arial"/>
          <w:lang w:eastAsia="de-DE"/>
        </w:rPr>
        <w:t>h</w:t>
      </w:r>
      <w:r w:rsidR="00CE59E8" w:rsidRPr="00CE59E8">
        <w:rPr>
          <w:rFonts w:ascii="Arial" w:eastAsia="Times New Roman" w:hAnsi="Arial" w:cs="Arial"/>
          <w:lang w:eastAsia="de-DE"/>
        </w:rPr>
        <w:t>ausinfektionen in Eur</w:t>
      </w:r>
      <w:r w:rsidR="00655E30">
        <w:rPr>
          <w:rFonts w:ascii="Arial" w:eastAsia="Times New Roman" w:hAnsi="Arial" w:cs="Arial"/>
          <w:lang w:eastAsia="de-DE"/>
        </w:rPr>
        <w:t>opa machen nach Auffassung der D</w:t>
      </w:r>
      <w:r w:rsidR="00CE59E8" w:rsidRPr="00CE59E8">
        <w:rPr>
          <w:rFonts w:ascii="Arial" w:eastAsia="Times New Roman" w:hAnsi="Arial" w:cs="Arial"/>
          <w:lang w:eastAsia="de-DE"/>
        </w:rPr>
        <w:t>eutschen Krankenhausgesellschaft</w:t>
      </w:r>
      <w:r w:rsidR="00655E30">
        <w:rPr>
          <w:rFonts w:ascii="Arial" w:eastAsia="Times New Roman" w:hAnsi="Arial" w:cs="Arial"/>
          <w:lang w:eastAsia="de-DE"/>
        </w:rPr>
        <w:t xml:space="preserve"> (DKG)</w:t>
      </w:r>
      <w:r w:rsidR="00CE59E8" w:rsidRPr="00CE59E8">
        <w:rPr>
          <w:rFonts w:ascii="Arial" w:eastAsia="Times New Roman" w:hAnsi="Arial" w:cs="Arial"/>
          <w:lang w:eastAsia="de-DE"/>
        </w:rPr>
        <w:t xml:space="preserve"> deutlich, dass </w:t>
      </w:r>
      <w:r w:rsidR="00655E30">
        <w:rPr>
          <w:rFonts w:ascii="Arial" w:eastAsia="Times New Roman" w:hAnsi="Arial" w:cs="Arial"/>
          <w:lang w:eastAsia="de-DE"/>
        </w:rPr>
        <w:t xml:space="preserve">die Krankenhäuser </w:t>
      </w:r>
      <w:r w:rsidR="00CE59E8" w:rsidRPr="00CE59E8">
        <w:rPr>
          <w:rFonts w:ascii="Arial" w:eastAsia="Times New Roman" w:hAnsi="Arial" w:cs="Arial"/>
          <w:lang w:eastAsia="de-DE"/>
        </w:rPr>
        <w:t>in Deutschland sich des Problems sehr bewusst sind und mit einer Vielzahl an Maßnahmen gegen die Gefahren vorgehen. „</w:t>
      </w:r>
      <w:r w:rsidR="00D93212">
        <w:rPr>
          <w:rFonts w:ascii="Arial" w:eastAsia="Times New Roman" w:hAnsi="Arial" w:cs="Arial"/>
          <w:lang w:eastAsia="de-DE"/>
        </w:rPr>
        <w:t>Die Studie macht aber auch deutlich, dass die überwiegende Zahl der Infektionen krankheitsbedingt ist. Gleichwohl sind weitere Anstrengungen zur Vermeidung vermeidbarer Infektionen notwendig.</w:t>
      </w:r>
      <w:r w:rsidR="00CE59E8">
        <w:rPr>
          <w:rFonts w:ascii="Arial" w:eastAsia="Times New Roman" w:hAnsi="Arial" w:cs="Arial"/>
          <w:lang w:eastAsia="de-DE"/>
        </w:rPr>
        <w:t xml:space="preserve"> W</w:t>
      </w:r>
      <w:r w:rsidR="00CE59E8" w:rsidRPr="00CE59E8">
        <w:rPr>
          <w:rFonts w:ascii="Arial" w:eastAsia="Times New Roman" w:hAnsi="Arial" w:cs="Arial"/>
          <w:lang w:eastAsia="de-DE"/>
        </w:rPr>
        <w:t xml:space="preserve">ichtig </w:t>
      </w:r>
      <w:r w:rsidR="00D93212">
        <w:rPr>
          <w:rFonts w:ascii="Arial" w:eastAsia="Times New Roman" w:hAnsi="Arial" w:cs="Arial"/>
          <w:lang w:eastAsia="de-DE"/>
        </w:rPr>
        <w:t xml:space="preserve">dazu </w:t>
      </w:r>
      <w:r w:rsidR="00CE59E8" w:rsidRPr="00CE59E8">
        <w:rPr>
          <w:rFonts w:ascii="Arial" w:eastAsia="Times New Roman" w:hAnsi="Arial" w:cs="Arial"/>
          <w:lang w:eastAsia="de-DE"/>
        </w:rPr>
        <w:t xml:space="preserve">ist, dass wir immer mehr geschultes Personal in den Kliniken haben, die Händehygiene in den letzten Jahren massiv verbessert haben und insbesondere bei den </w:t>
      </w:r>
      <w:r w:rsidR="006B0F08">
        <w:rPr>
          <w:rFonts w:ascii="Arial" w:eastAsia="Times New Roman" w:hAnsi="Arial" w:cs="Arial"/>
          <w:lang w:eastAsia="de-DE"/>
        </w:rPr>
        <w:t>MRSA-</w:t>
      </w:r>
      <w:r w:rsidR="00CE59E8" w:rsidRPr="00CE59E8">
        <w:rPr>
          <w:rFonts w:ascii="Arial" w:eastAsia="Times New Roman" w:hAnsi="Arial" w:cs="Arial"/>
          <w:lang w:eastAsia="de-DE"/>
        </w:rPr>
        <w:t xml:space="preserve">Infektionen einen positiven Trend erkennen können. </w:t>
      </w:r>
      <w:r w:rsidR="00CE59E8" w:rsidRPr="00D93212">
        <w:rPr>
          <w:rFonts w:ascii="Arial" w:eastAsia="Times New Roman" w:hAnsi="Arial" w:cs="Arial"/>
          <w:lang w:eastAsia="de-DE"/>
        </w:rPr>
        <w:t>Denn seit</w:t>
      </w:r>
      <w:r w:rsidR="00CE59E8" w:rsidRPr="00D93212">
        <w:rPr>
          <w:rFonts w:ascii="Arial" w:eastAsiaTheme="minorHAnsi" w:hAnsi="Arial" w:cs="Arial"/>
          <w:lang w:eastAsia="de-DE"/>
        </w:rPr>
        <w:t xml:space="preserve"> 2010 ist d</w:t>
      </w:r>
      <w:r w:rsidR="00CE59E8" w:rsidRPr="00D93212">
        <w:rPr>
          <w:rFonts w:ascii="Arial" w:eastAsia="Times New Roman" w:hAnsi="Arial" w:cs="Arial"/>
          <w:lang w:eastAsia="de-DE"/>
        </w:rPr>
        <w:t>er Anteil</w:t>
      </w:r>
      <w:r w:rsidR="00CE59E8" w:rsidRPr="00CE59E8">
        <w:rPr>
          <w:rFonts w:ascii="Arial" w:eastAsia="Times New Roman" w:hAnsi="Arial" w:cs="Arial"/>
          <w:lang w:eastAsia="de-DE"/>
        </w:rPr>
        <w:t xml:space="preserve"> von MRSA an allen Staphylococcus aueus-Infektionen deutschlandweit</w:t>
      </w:r>
      <w:r w:rsidR="00CE59E8">
        <w:rPr>
          <w:rFonts w:ascii="Arial" w:eastAsia="Times New Roman" w:hAnsi="Arial" w:cs="Arial"/>
          <w:lang w:eastAsia="de-DE"/>
        </w:rPr>
        <w:t xml:space="preserve"> rückläufig und hat sich fast halbiert“</w:t>
      </w:r>
      <w:r w:rsidR="00655E30">
        <w:rPr>
          <w:rFonts w:ascii="Arial" w:eastAsia="Times New Roman" w:hAnsi="Arial" w:cs="Arial"/>
          <w:lang w:eastAsia="de-DE"/>
        </w:rPr>
        <w:t>, erklärt</w:t>
      </w:r>
      <w:r w:rsidR="00CE59E8">
        <w:rPr>
          <w:rFonts w:ascii="Arial" w:eastAsia="Times New Roman" w:hAnsi="Arial" w:cs="Arial"/>
          <w:lang w:eastAsia="de-DE"/>
        </w:rPr>
        <w:t xml:space="preserve"> DKG-Hauptgeschäftsführer Georg Baum.</w:t>
      </w:r>
    </w:p>
    <w:p w14:paraId="7045B799" w14:textId="77777777" w:rsidR="00CE59E8" w:rsidRDefault="00CE59E8" w:rsidP="00CE59E8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41701240" w14:textId="77777777" w:rsidR="00383891" w:rsidRPr="00633E3A" w:rsidRDefault="00383891" w:rsidP="00383891">
      <w:pPr>
        <w:spacing w:after="0" w:line="340" w:lineRule="atLeast"/>
        <w:ind w:right="2268"/>
        <w:jc w:val="both"/>
      </w:pPr>
    </w:p>
    <w:p w14:paraId="0CD5347E" w14:textId="5A7F9BD5" w:rsidR="0058674F" w:rsidRPr="0058674F" w:rsidRDefault="0058674F" w:rsidP="001C7245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9C153C">
        <w:rPr>
          <w:rFonts w:ascii="Arial" w:hAnsi="Arial" w:cs="Arial"/>
          <w:color w:val="7F7F7F" w:themeColor="text1" w:themeTint="80"/>
          <w:sz w:val="18"/>
        </w:rPr>
        <w:t>tragene Aufgaben wahr. Die 1.956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9C153C">
        <w:rPr>
          <w:rFonts w:ascii="Arial" w:hAnsi="Arial" w:cs="Arial"/>
          <w:color w:val="7F7F7F" w:themeColor="text1" w:themeTint="80"/>
          <w:sz w:val="18"/>
        </w:rPr>
        <w:t xml:space="preserve"> jährlich 19,2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Pr="0058674F">
        <w:rPr>
          <w:rFonts w:ascii="Arial" w:hAnsi="Arial" w:cs="Arial"/>
          <w:color w:val="7F7F7F" w:themeColor="text1" w:themeTint="80"/>
          <w:sz w:val="18"/>
        </w:rPr>
        <w:t>18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1C0544">
        <w:rPr>
          <w:rFonts w:ascii="Arial" w:hAnsi="Arial" w:cs="Arial"/>
          <w:color w:val="7F7F7F" w:themeColor="text1" w:themeTint="80"/>
          <w:sz w:val="18"/>
        </w:rPr>
        <w:t>Millionen Mitarbeitern. Bei 94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14:paraId="6BCAE056" w14:textId="77777777" w:rsidR="0058674F" w:rsidRPr="0058674F" w:rsidRDefault="0058674F" w:rsidP="009D26E3">
      <w:pPr>
        <w:pStyle w:val="Adressfeld"/>
        <w:spacing w:after="0" w:line="240" w:lineRule="auto"/>
      </w:pPr>
    </w:p>
    <w:sectPr w:rsidR="0058674F" w:rsidRPr="0058674F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F33A8" w14:textId="77777777" w:rsidR="00D852B3" w:rsidRDefault="00D852B3" w:rsidP="008125E6">
      <w:pPr>
        <w:spacing w:after="0"/>
      </w:pPr>
      <w:r>
        <w:separator/>
      </w:r>
    </w:p>
  </w:endnote>
  <w:endnote w:type="continuationSeparator" w:id="0">
    <w:p w14:paraId="128A51A8" w14:textId="77777777" w:rsidR="00D852B3" w:rsidRDefault="00D852B3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DC35F" w14:textId="1F9E9CA4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A3C7C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08146EB1" w14:textId="45AABABD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7E7178A6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A1F6152" w14:textId="5C270510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60E55F47" w14:textId="418CE9C5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525D6CEF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31FBC0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537E50D5" w14:textId="52FEA4C5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2FEFDCDD" w14:textId="253D222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FF8C9D4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Dagmar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Vohburger</w:t>
                          </w:r>
                        </w:p>
                        <w:p w14:paraId="26637EB1" w14:textId="2CA82F71" w:rsidR="0065306F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-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1023</w:t>
                          </w:r>
                        </w:p>
                        <w:p w14:paraId="2D32FA64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2B51E45" w14:textId="7BE0C90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17BC881A" w14:textId="7C7A5376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52001A6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EF7614A" w14:textId="135C2901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5BC8224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14:paraId="27D8EA79" w14:textId="4118D6C8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14:paraId="0D42AC06" w14:textId="2F668B84"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14:paraId="4A3E2F77" w14:textId="2B519D1A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4F06117C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D1B5D6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4DDC32C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1395ED9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3913412D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4318A3BE" w14:textId="35EFC18B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14:paraId="70CDB1EB" w14:textId="05F258F5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2073A9A0" w14:textId="3D4B651A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60CD37B1" w14:textId="6EB1A07B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3BDE5F90" w14:textId="1ECA17B1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14:paraId="7FEA3C7C" w14:textId="77777777"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08146EB1" w14:textId="45AABABD"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7E7178A6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A1F6152" w14:textId="5C270510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14:paraId="60E55F47" w14:textId="418CE9C5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14:paraId="525D6CEF" w14:textId="77777777"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31FBC0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537E50D5" w14:textId="52FEA4C5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2FEFDCDD" w14:textId="253D222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FF8C9D4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Dagmar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Vohburger</w:t>
                    </w:r>
                  </w:p>
                  <w:p w14:paraId="26637EB1" w14:textId="2CA82F71" w:rsidR="0065306F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-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1023</w:t>
                    </w:r>
                  </w:p>
                  <w:p w14:paraId="2D32FA64" w14:textId="77777777"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2B51E45" w14:textId="7BE0C90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17BC881A" w14:textId="7C7A5376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14:paraId="52001A60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EF7614A" w14:textId="135C2901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14:paraId="5BC8224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14:paraId="27D8EA79" w14:textId="4118D6C8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14:paraId="0D42AC06" w14:textId="2F668B84"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14:paraId="4A3E2F77" w14:textId="2B519D1A"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4F06117C" w14:textId="77777777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D1B5D6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14:paraId="4DDC32C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1395ED9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3913412D" w14:textId="77777777"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4318A3BE" w14:textId="35EFC18B"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14:paraId="70CDB1EB" w14:textId="05F258F5"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2073A9A0" w14:textId="3D4B651A"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14:paraId="60CD37B1" w14:textId="6EB1A07B"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3BDE5F90" w14:textId="1ECA17B1"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0A39BC23" w14:textId="77777777"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7F461" w14:textId="77777777" w:rsidR="00D852B3" w:rsidRDefault="00D852B3" w:rsidP="008125E6">
      <w:pPr>
        <w:spacing w:after="0"/>
      </w:pPr>
      <w:r>
        <w:separator/>
      </w:r>
    </w:p>
  </w:footnote>
  <w:footnote w:type="continuationSeparator" w:id="0">
    <w:p w14:paraId="022978F8" w14:textId="77777777" w:rsidR="00D852B3" w:rsidRDefault="00D852B3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0A7A6" w14:textId="4FD3A548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D93212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9CF6B" w14:textId="4DC44D68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3D568A22">
          <wp:simplePos x="0" y="0"/>
          <wp:positionH relativeFrom="page">
            <wp:posOffset>67945</wp:posOffset>
          </wp:positionH>
          <wp:positionV relativeFrom="page">
            <wp:posOffset>1905</wp:posOffset>
          </wp:positionV>
          <wp:extent cx="7556500" cy="10688320"/>
          <wp:effectExtent l="0" t="0" r="6350" b="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2CED"/>
    <w:rsid w:val="00096D20"/>
    <w:rsid w:val="000A31C9"/>
    <w:rsid w:val="000D4C11"/>
    <w:rsid w:val="000F61BB"/>
    <w:rsid w:val="00111CA4"/>
    <w:rsid w:val="00121889"/>
    <w:rsid w:val="001253E9"/>
    <w:rsid w:val="001333C7"/>
    <w:rsid w:val="00183CBD"/>
    <w:rsid w:val="001962FD"/>
    <w:rsid w:val="001C0544"/>
    <w:rsid w:val="001C3900"/>
    <w:rsid w:val="001C561E"/>
    <w:rsid w:val="001C7245"/>
    <w:rsid w:val="001F0F3B"/>
    <w:rsid w:val="00205E46"/>
    <w:rsid w:val="002156A6"/>
    <w:rsid w:val="00242028"/>
    <w:rsid w:val="00245172"/>
    <w:rsid w:val="00262C00"/>
    <w:rsid w:val="002665AA"/>
    <w:rsid w:val="002875EB"/>
    <w:rsid w:val="002A44EC"/>
    <w:rsid w:val="002B4C49"/>
    <w:rsid w:val="002C1659"/>
    <w:rsid w:val="002F1B73"/>
    <w:rsid w:val="00314EF3"/>
    <w:rsid w:val="00323BD9"/>
    <w:rsid w:val="00326374"/>
    <w:rsid w:val="00335088"/>
    <w:rsid w:val="00350E79"/>
    <w:rsid w:val="00354602"/>
    <w:rsid w:val="00362EF7"/>
    <w:rsid w:val="00363F93"/>
    <w:rsid w:val="00383891"/>
    <w:rsid w:val="00396599"/>
    <w:rsid w:val="003A3AAA"/>
    <w:rsid w:val="003B4AC3"/>
    <w:rsid w:val="003D3A58"/>
    <w:rsid w:val="00407552"/>
    <w:rsid w:val="00413F2A"/>
    <w:rsid w:val="00440091"/>
    <w:rsid w:val="00452B50"/>
    <w:rsid w:val="0046608A"/>
    <w:rsid w:val="004915FE"/>
    <w:rsid w:val="004B392D"/>
    <w:rsid w:val="004B5A0A"/>
    <w:rsid w:val="004E40FA"/>
    <w:rsid w:val="004E47E0"/>
    <w:rsid w:val="004F0985"/>
    <w:rsid w:val="004F46DC"/>
    <w:rsid w:val="0052054C"/>
    <w:rsid w:val="00532B8C"/>
    <w:rsid w:val="00540AF0"/>
    <w:rsid w:val="00540DD3"/>
    <w:rsid w:val="0056210E"/>
    <w:rsid w:val="00570C6B"/>
    <w:rsid w:val="0058674F"/>
    <w:rsid w:val="00586EFC"/>
    <w:rsid w:val="005A6566"/>
    <w:rsid w:val="005B067E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55E30"/>
    <w:rsid w:val="00660B2F"/>
    <w:rsid w:val="006861E1"/>
    <w:rsid w:val="006937B4"/>
    <w:rsid w:val="006B0F08"/>
    <w:rsid w:val="006B4413"/>
    <w:rsid w:val="006C6396"/>
    <w:rsid w:val="006C72CE"/>
    <w:rsid w:val="006E201E"/>
    <w:rsid w:val="00700218"/>
    <w:rsid w:val="0070619D"/>
    <w:rsid w:val="00717437"/>
    <w:rsid w:val="00734946"/>
    <w:rsid w:val="007755F0"/>
    <w:rsid w:val="00795922"/>
    <w:rsid w:val="007C44FC"/>
    <w:rsid w:val="008125E6"/>
    <w:rsid w:val="00835799"/>
    <w:rsid w:val="00850E59"/>
    <w:rsid w:val="00894E03"/>
    <w:rsid w:val="008B2132"/>
    <w:rsid w:val="008B37EB"/>
    <w:rsid w:val="008B7F36"/>
    <w:rsid w:val="008D015E"/>
    <w:rsid w:val="008E50AB"/>
    <w:rsid w:val="008E5967"/>
    <w:rsid w:val="00902670"/>
    <w:rsid w:val="0095543A"/>
    <w:rsid w:val="00957747"/>
    <w:rsid w:val="00995C59"/>
    <w:rsid w:val="00997648"/>
    <w:rsid w:val="009A320B"/>
    <w:rsid w:val="009A4F97"/>
    <w:rsid w:val="009C153C"/>
    <w:rsid w:val="009D26E3"/>
    <w:rsid w:val="009E0FE7"/>
    <w:rsid w:val="00A15341"/>
    <w:rsid w:val="00A41756"/>
    <w:rsid w:val="00AC5BCE"/>
    <w:rsid w:val="00AE24DB"/>
    <w:rsid w:val="00B06B18"/>
    <w:rsid w:val="00B1353D"/>
    <w:rsid w:val="00B34514"/>
    <w:rsid w:val="00B52927"/>
    <w:rsid w:val="00B65874"/>
    <w:rsid w:val="00B7543C"/>
    <w:rsid w:val="00B87286"/>
    <w:rsid w:val="00BB0243"/>
    <w:rsid w:val="00BF222D"/>
    <w:rsid w:val="00C16F15"/>
    <w:rsid w:val="00C9558C"/>
    <w:rsid w:val="00C96C96"/>
    <w:rsid w:val="00CC21C5"/>
    <w:rsid w:val="00CD6E55"/>
    <w:rsid w:val="00CE1A56"/>
    <w:rsid w:val="00CE59E8"/>
    <w:rsid w:val="00CE7AC3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93212"/>
    <w:rsid w:val="00DA13E6"/>
    <w:rsid w:val="00DA6CB4"/>
    <w:rsid w:val="00DB5181"/>
    <w:rsid w:val="00DD0FDE"/>
    <w:rsid w:val="00DD648D"/>
    <w:rsid w:val="00E31F3B"/>
    <w:rsid w:val="00E40E2B"/>
    <w:rsid w:val="00E43AB7"/>
    <w:rsid w:val="00E71D54"/>
    <w:rsid w:val="00E865D6"/>
    <w:rsid w:val="00E87038"/>
    <w:rsid w:val="00EB444B"/>
    <w:rsid w:val="00ED3823"/>
    <w:rsid w:val="00F258F9"/>
    <w:rsid w:val="00F4622D"/>
    <w:rsid w:val="00F47CA5"/>
    <w:rsid w:val="00F651E0"/>
    <w:rsid w:val="00F77C15"/>
    <w:rsid w:val="00F8139F"/>
    <w:rsid w:val="00FA34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72501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CF30C4-3910-4425-9305-F6809225C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Gervers, Stephanie</cp:lastModifiedBy>
  <cp:revision>7</cp:revision>
  <cp:lastPrinted>2016-10-19T07:12:00Z</cp:lastPrinted>
  <dcterms:created xsi:type="dcterms:W3CDTF">2016-10-18T12:29:00Z</dcterms:created>
  <dcterms:modified xsi:type="dcterms:W3CDTF">2016-10-19T07:13:00Z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